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1ADC3044" w14:textId="1CC5765C" w:rsidR="00C032B9" w:rsidRDefault="00C032B9" w:rsidP="00E92660">
      <w:pPr>
        <w:rPr>
          <w:rFonts w:ascii="Times New Roman" w:hAnsi="Times New Roman" w:cs="Times New Roman"/>
          <w:b/>
          <w:sz w:val="24"/>
          <w:szCs w:val="24"/>
        </w:rPr>
      </w:pPr>
    </w:p>
    <w:p w14:paraId="69F5C178" w14:textId="4F1D0565"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sidR="00542C95" w:rsidRPr="00207FFA">
        <w:rPr>
          <w:rFonts w:ascii="Times New Roman" w:hAnsi="Times New Roman" w:cs="Times New Roman"/>
          <w:sz w:val="24"/>
          <w:szCs w:val="24"/>
        </w:rPr>
        <w:t>2</w:t>
      </w:r>
      <w:r w:rsidR="005A38E5">
        <w:rPr>
          <w:rFonts w:ascii="Times New Roman" w:hAnsi="Times New Roman" w:cs="Times New Roman"/>
          <w:sz w:val="24"/>
          <w:szCs w:val="24"/>
        </w:rPr>
        <w:t xml:space="preserve"> / II. polrok 2024</w:t>
      </w:r>
    </w:p>
    <w:p w14:paraId="5985DEB5" w14:textId="13566DD1" w:rsidR="00C032B9" w:rsidRPr="00C032B9" w:rsidRDefault="00E92660" w:rsidP="00C032B9">
      <w:pPr>
        <w:jc w:val="both"/>
        <w:rPr>
          <w:rFonts w:ascii="Times New Roman" w:hAnsi="Times New Roman" w:cs="Times New Roman"/>
          <w:color w:val="0070C0"/>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F42411" w:rsidRPr="001E1EE6">
        <w:rPr>
          <w:rFonts w:ascii="Times New Roman" w:eastAsia="Calibri" w:hAnsi="Times New Roman" w:cs="Times New Roman"/>
          <w:sz w:val="24"/>
          <w:szCs w:val="24"/>
        </w:rPr>
        <w:t>Zákon č. 305/2013 Z. z. o elektronickej podobe výkonu pôsobnosti orgánov verejnej moci a o zmene a doplnení niektorých zákonov (zákon o e-</w:t>
      </w:r>
      <w:proofErr w:type="spellStart"/>
      <w:r w:rsidR="00F42411" w:rsidRPr="001E1EE6">
        <w:rPr>
          <w:rFonts w:ascii="Times New Roman" w:eastAsia="Calibri" w:hAnsi="Times New Roman" w:cs="Times New Roman"/>
          <w:sz w:val="24"/>
          <w:szCs w:val="24"/>
        </w:rPr>
        <w:t>Governmente</w:t>
      </w:r>
      <w:proofErr w:type="spellEnd"/>
      <w:r w:rsidR="00F42411" w:rsidRPr="001E1EE6">
        <w:rPr>
          <w:rFonts w:ascii="Times New Roman" w:eastAsia="Calibri" w:hAnsi="Times New Roman" w:cs="Times New Roman"/>
          <w:sz w:val="24"/>
          <w:szCs w:val="24"/>
        </w:rPr>
        <w:t>) (ďalej len „zákon o e-</w:t>
      </w:r>
      <w:proofErr w:type="spellStart"/>
      <w:r w:rsidR="00F42411" w:rsidRPr="001E1EE6">
        <w:rPr>
          <w:rFonts w:ascii="Times New Roman" w:eastAsia="Calibri" w:hAnsi="Times New Roman" w:cs="Times New Roman"/>
          <w:sz w:val="24"/>
          <w:szCs w:val="24"/>
        </w:rPr>
        <w:t>Governmente</w:t>
      </w:r>
      <w:proofErr w:type="spellEnd"/>
      <w:r w:rsidR="00F42411" w:rsidRPr="001E1EE6">
        <w:rPr>
          <w:rFonts w:ascii="Times New Roman" w:eastAsia="Calibri" w:hAnsi="Times New Roman" w:cs="Times New Roman"/>
          <w:sz w:val="24"/>
          <w:szCs w:val="24"/>
        </w:rPr>
        <w:t>“)</w:t>
      </w:r>
    </w:p>
    <w:p w14:paraId="7E68460D" w14:textId="2BDF580D" w:rsidR="003F2005" w:rsidRPr="00F42411" w:rsidRDefault="003F2005" w:rsidP="00F42411">
      <w:pPr>
        <w:tabs>
          <w:tab w:val="left" w:pos="2127"/>
        </w:tabs>
        <w:spacing w:before="160"/>
        <w:jc w:val="both"/>
        <w:rPr>
          <w:rFonts w:ascii="Times New Roman" w:eastAsia="Calibri" w:hAnsi="Times New Roman" w:cs="Times New Roman"/>
          <w:sz w:val="24"/>
          <w:szCs w:val="24"/>
        </w:rPr>
      </w:pPr>
      <w:r w:rsidRPr="004F0330">
        <w:rPr>
          <w:rFonts w:ascii="Times New Roman" w:hAnsi="Times New Roman" w:cs="Times New Roman"/>
          <w:b/>
          <w:sz w:val="24"/>
          <w:szCs w:val="24"/>
        </w:rPr>
        <w:t xml:space="preserve">Lokalizácia hodnotenej regulácie: </w:t>
      </w:r>
      <w:r w:rsidR="00F42411" w:rsidRPr="005670D3">
        <w:rPr>
          <w:rFonts w:ascii="Times New Roman" w:eastAsia="Calibri" w:hAnsi="Times New Roman" w:cs="Times New Roman"/>
          <w:sz w:val="24"/>
          <w:szCs w:val="24"/>
        </w:rPr>
        <w:t>§ 13 ods. 4 písm. c)</w:t>
      </w:r>
    </w:p>
    <w:p w14:paraId="63566964" w14:textId="09011556" w:rsidR="00C032B9" w:rsidRDefault="003F2005" w:rsidP="00542C95">
      <w:pPr>
        <w:spacing w:after="0"/>
        <w:jc w:val="both"/>
        <w:rPr>
          <w:rFonts w:ascii="Times New Roman" w:eastAsia="Calibri" w:hAnsi="Times New Roman" w:cs="Times New Roman"/>
          <w:sz w:val="24"/>
          <w:szCs w:val="24"/>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r w:rsidR="00542C95" w:rsidRPr="00542C95">
        <w:rPr>
          <w:rFonts w:ascii="Times New Roman" w:eastAsia="Calibri" w:hAnsi="Times New Roman" w:cs="Times New Roman"/>
          <w:sz w:val="24"/>
          <w:szCs w:val="24"/>
        </w:rPr>
        <w:t>Podnikatelia (konatelia firmy) musia mať preukaz s elektronickým čipom. V prípade výmeny občianskeho preukazu (z dôvodu straty OP, krádeže OP, zmena adresy, ...) dostane občan dočasný papier dokým mu nebude vystavený nový OP. Dočasný OP postačuje na preukázanie totožnosti ale nedá sa s ním prihlásiť do elektronickej schránky. Podnikateľ sa teda počas tejto doby nedostane do svojej schránky, no lehoty mu aj tak plynú.</w:t>
      </w:r>
    </w:p>
    <w:p w14:paraId="099C278A" w14:textId="77777777" w:rsidR="00542C95" w:rsidRPr="00542C95" w:rsidRDefault="00542C95" w:rsidP="00542C95">
      <w:pPr>
        <w:spacing w:after="0"/>
        <w:jc w:val="both"/>
        <w:rPr>
          <w:rFonts w:ascii="Times New Roman" w:eastAsia="Calibri" w:hAnsi="Times New Roman" w:cs="Times New Roman"/>
          <w:sz w:val="24"/>
          <w:szCs w:val="24"/>
        </w:rPr>
      </w:pP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w:t>
      </w:r>
      <w:proofErr w:type="spellStart"/>
      <w:r w:rsidRPr="00CB6BB0">
        <w:rPr>
          <w:rFonts w:ascii="Times New Roman" w:hAnsi="Times New Roman" w:cs="Times New Roman"/>
          <w:sz w:val="24"/>
          <w:szCs w:val="24"/>
        </w:rPr>
        <w:t>nehodiace</w:t>
      </w:r>
      <w:proofErr w:type="spellEnd"/>
      <w:r w:rsidRPr="00CB6BB0">
        <w:rPr>
          <w:rFonts w:ascii="Times New Roman" w:hAnsi="Times New Roman" w:cs="Times New Roman"/>
          <w:sz w:val="24"/>
          <w:szCs w:val="24"/>
        </w:rPr>
        <w:t xml:space="preserve"> sa škrtnite)</w:t>
      </w:r>
    </w:p>
    <w:p w14:paraId="63E9C4D0" w14:textId="3FDF1739" w:rsidR="00E92660" w:rsidRDefault="00E92660" w:rsidP="00E92660">
      <w:pPr>
        <w:spacing w:after="120"/>
        <w:jc w:val="both"/>
        <w:rPr>
          <w:rFonts w:ascii="Times New Roman" w:hAnsi="Times New Roman" w:cs="Times New Roman"/>
          <w:sz w:val="24"/>
          <w:szCs w:val="24"/>
        </w:rPr>
      </w:pPr>
    </w:p>
    <w:p w14:paraId="6C8AACE3" w14:textId="77777777" w:rsidR="00485E48" w:rsidRDefault="00485E48" w:rsidP="00E92660">
      <w:pPr>
        <w:spacing w:after="120"/>
        <w:jc w:val="both"/>
        <w:rPr>
          <w:rFonts w:ascii="Times New Roman" w:hAnsi="Times New Roman" w:cs="Times New Roman"/>
          <w:sz w:val="24"/>
          <w:szCs w:val="24"/>
        </w:rPr>
      </w:pPr>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201FF0FF"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w:t>
      </w:r>
      <w:r w:rsidR="00C032B9">
        <w:rPr>
          <w:rFonts w:ascii="Times New Roman" w:hAnsi="Times New Roman" w:cs="Times New Roman"/>
          <w:sz w:val="24"/>
          <w:szCs w:val="24"/>
        </w:rPr>
        <w:t>o skutočnosťami uvádzanými v</w:t>
      </w:r>
      <w:r>
        <w:rPr>
          <w:rFonts w:ascii="Times New Roman" w:hAnsi="Times New Roman" w:cs="Times New Roman"/>
          <w:sz w:val="24"/>
          <w:szCs w:val="24"/>
        </w:rPr>
        <w:t> popis</w:t>
      </w:r>
      <w:r w:rsidR="00C032B9">
        <w:rPr>
          <w:rFonts w:ascii="Times New Roman" w:hAnsi="Times New Roman" w:cs="Times New Roman"/>
          <w:sz w:val="24"/>
          <w:szCs w:val="24"/>
        </w:rPr>
        <w:t>e</w:t>
      </w:r>
      <w:r>
        <w:rPr>
          <w:rFonts w:ascii="Times New Roman" w:hAnsi="Times New Roman" w:cs="Times New Roman"/>
          <w:sz w:val="24"/>
          <w:szCs w:val="24"/>
        </w:rPr>
        <w:t xml:space="preserve"> možného problému regulácie, vyplývajúceho </w:t>
      </w:r>
      <w:r w:rsidR="00C032B9">
        <w:rPr>
          <w:rFonts w:ascii="Times New Roman" w:hAnsi="Times New Roman" w:cs="Times New Roman"/>
          <w:sz w:val="24"/>
          <w:szCs w:val="24"/>
        </w:rPr>
        <w:t xml:space="preserve">zo </w:t>
      </w:r>
      <w:r>
        <w:rPr>
          <w:rFonts w:ascii="Times New Roman" w:hAnsi="Times New Roman" w:cs="Times New Roman"/>
          <w:sz w:val="24"/>
          <w:szCs w:val="24"/>
        </w:rPr>
        <w:t>znenia podnetu z podnikateľského prostredia?</w:t>
      </w:r>
    </w:p>
    <w:p w14:paraId="6CE3B915" w14:textId="77404AC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27172CB" w14:textId="1DB2BC53"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77777777"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4C2D3090" w:rsidR="00E92660" w:rsidRDefault="00E9266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 xml:space="preserve">Ide o nákladové vyjadrenie času, ktorý strávi podnikateľ resp. jeho zamestnanci realizáciou </w:t>
      </w:r>
      <w:r w:rsidR="00124745" w:rsidRPr="00D8247C">
        <w:rPr>
          <w:rFonts w:ascii="Times New Roman" w:hAnsi="Times New Roman" w:cs="Times New Roman"/>
          <w:i/>
          <w:sz w:val="24"/>
          <w:szCs w:val="24"/>
          <w:lang w:eastAsia="sk-SK"/>
        </w:rPr>
        <w:lastRenderedPageBreak/>
        <w:t>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48DF86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05359" w14:textId="41E8DC60" w:rsidR="00C51AA2" w:rsidRPr="003F2005" w:rsidRDefault="00C51AA2" w:rsidP="00E92660">
      <w:pPr>
        <w:pStyle w:val="Odsekzoznamu"/>
        <w:ind w:left="350"/>
        <w:jc w:val="both"/>
        <w:rPr>
          <w:sz w:val="28"/>
        </w:rPr>
      </w:pPr>
    </w:p>
    <w:p w14:paraId="5A793175" w14:textId="68D19E3B"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296E9906" w14:textId="12F1328E"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2D2DFA" w14:textId="4249B918"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14EAF6D" w14:textId="62ACBD0A"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09D9F80E"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w:t>
      </w:r>
      <w:r w:rsidRPr="005A38E5">
        <w:rPr>
          <w:rFonts w:ascii="Times New Roman" w:hAnsi="Times New Roman" w:cs="Times New Roman"/>
          <w:b/>
          <w:sz w:val="24"/>
          <w:szCs w:val="24"/>
        </w:rPr>
        <w:t xml:space="preserve">adresu </w:t>
      </w:r>
      <w:hyperlink r:id="rId8" w:history="1">
        <w:r w:rsidR="005A38E5" w:rsidRPr="005A38E5">
          <w:rPr>
            <w:rStyle w:val="Hypertextovprepojenie"/>
            <w:rFonts w:ascii="Times New Roman" w:hAnsi="Times New Roman"/>
            <w:b/>
            <w:szCs w:val="24"/>
          </w:rPr>
          <w:t>lubica.kasikova</w:t>
        </w:r>
      </w:hyperlink>
      <w:r w:rsidR="005A38E5" w:rsidRPr="005A38E5">
        <w:rPr>
          <w:rStyle w:val="Hypertextovprepojenie"/>
          <w:rFonts w:ascii="Times New Roman" w:hAnsi="Times New Roman"/>
          <w:b/>
          <w:szCs w:val="24"/>
        </w:rPr>
        <w:t>@mirri.gov.sk</w:t>
      </w:r>
      <w:r w:rsidRPr="005A38E5">
        <w:rPr>
          <w:rFonts w:ascii="Times New Roman" w:hAnsi="Times New Roman" w:cs="Times New Roman"/>
          <w:b/>
          <w:sz w:val="24"/>
          <w:szCs w:val="24"/>
        </w:rPr>
        <w:t xml:space="preserve"> </w:t>
      </w:r>
      <w:r w:rsidR="00C032B9" w:rsidRPr="005A38E5">
        <w:rPr>
          <w:rFonts w:ascii="Times New Roman" w:hAnsi="Times New Roman" w:cs="Times New Roman"/>
          <w:b/>
          <w:sz w:val="24"/>
          <w:szCs w:val="24"/>
        </w:rPr>
        <w:t>a</w:t>
      </w:r>
      <w:r w:rsidR="00C032B9">
        <w:rPr>
          <w:rFonts w:ascii="Times New Roman" w:hAnsi="Times New Roman" w:cs="Times New Roman"/>
          <w:sz w:val="24"/>
          <w:szCs w:val="24"/>
        </w:rPr>
        <w:t xml:space="preserve"> </w:t>
      </w:r>
      <w:hyperlink r:id="rId9"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termíne do </w:t>
      </w:r>
      <w:r w:rsidR="0099453A">
        <w:rPr>
          <w:rFonts w:ascii="Times New Roman" w:hAnsi="Times New Roman" w:cs="Times New Roman"/>
          <w:b/>
          <w:color w:val="000000" w:themeColor="text1"/>
          <w:sz w:val="24"/>
          <w:szCs w:val="24"/>
        </w:rPr>
        <w:t xml:space="preserve">30. septembra </w:t>
      </w:r>
      <w:bookmarkStart w:id="0" w:name="_GoBack"/>
      <w:bookmarkEnd w:id="0"/>
      <w:r w:rsidR="005A38E5">
        <w:rPr>
          <w:rFonts w:ascii="Times New Roman" w:hAnsi="Times New Roman" w:cs="Times New Roman"/>
          <w:b/>
          <w:color w:val="000000" w:themeColor="text1"/>
          <w:sz w:val="24"/>
          <w:szCs w:val="24"/>
        </w:rPr>
        <w:t>2024</w:t>
      </w:r>
      <w:r w:rsidRPr="00E32075">
        <w:rPr>
          <w:rFonts w:ascii="Times New Roman" w:hAnsi="Times New Roman" w:cs="Times New Roman"/>
          <w:b/>
          <w:color w:val="000000" w:themeColor="text1"/>
          <w:sz w:val="24"/>
          <w:szCs w:val="24"/>
        </w:rPr>
        <w:t>.</w:t>
      </w:r>
    </w:p>
    <w:sectPr w:rsidR="003F2005" w:rsidRPr="002E0F51" w:rsidSect="00C24D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66B1" w14:textId="77777777" w:rsidR="00AD4CCE" w:rsidRDefault="00AD4CCE" w:rsidP="00C51AA2">
      <w:pPr>
        <w:spacing w:after="0" w:line="240" w:lineRule="auto"/>
      </w:pPr>
      <w:r>
        <w:separator/>
      </w:r>
    </w:p>
  </w:endnote>
  <w:endnote w:type="continuationSeparator" w:id="0">
    <w:p w14:paraId="19F7A913" w14:textId="77777777" w:rsidR="00AD4CCE" w:rsidRDefault="00AD4CCE"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647350"/>
      <w:docPartObj>
        <w:docPartGallery w:val="Page Numbers (Bottom of Page)"/>
        <w:docPartUnique/>
      </w:docPartObj>
    </w:sdtPr>
    <w:sdtEndPr/>
    <w:sdtContent>
      <w:p w14:paraId="1682CA04" w14:textId="13815D8C" w:rsidR="00CB6BB0" w:rsidRDefault="00CB6BB0">
        <w:pPr>
          <w:pStyle w:val="Pta"/>
          <w:jc w:val="center"/>
        </w:pPr>
        <w:r>
          <w:fldChar w:fldCharType="begin"/>
        </w:r>
        <w:r>
          <w:instrText>PAGE   \* MERGEFORMAT</w:instrText>
        </w:r>
        <w:r>
          <w:fldChar w:fldCharType="separate"/>
        </w:r>
        <w:r w:rsidR="0099453A">
          <w:rPr>
            <w:noProof/>
          </w:rPr>
          <w:t>3</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BD3A" w14:textId="77777777" w:rsidR="00AD4CCE" w:rsidRDefault="00AD4CCE" w:rsidP="00C51AA2">
      <w:pPr>
        <w:spacing w:after="0" w:line="240" w:lineRule="auto"/>
      </w:pPr>
      <w:r>
        <w:separator/>
      </w:r>
    </w:p>
  </w:footnote>
  <w:footnote w:type="continuationSeparator" w:id="0">
    <w:p w14:paraId="46DC423A" w14:textId="77777777" w:rsidR="00AD4CCE" w:rsidRDefault="00AD4CCE" w:rsidP="00C51AA2">
      <w:pPr>
        <w:spacing w:after="0" w:line="240" w:lineRule="auto"/>
      </w:pPr>
      <w:r>
        <w:continuationSeparator/>
      </w:r>
    </w:p>
  </w:footnote>
  <w:footnote w:id="1">
    <w:p w14:paraId="493FC3E2" w14:textId="3C5CE7E2" w:rsidR="00327AD7" w:rsidRPr="005A38E5" w:rsidRDefault="00327AD7" w:rsidP="00327AD7">
      <w:pPr>
        <w:pStyle w:val="Textpoznmkypodiarou"/>
        <w:jc w:val="both"/>
        <w:rPr>
          <w:rFonts w:ascii="Times New Roman" w:hAnsi="Times New Roman" w:cs="Times New Roman"/>
        </w:rPr>
      </w:pPr>
      <w:r>
        <w:rPr>
          <w:rStyle w:val="Odkaznapoznmkupodiarou"/>
        </w:rPr>
        <w:footnoteRef/>
      </w:r>
      <w:r>
        <w:t xml:space="preserve"> </w:t>
      </w:r>
      <w:r w:rsidR="003809F6" w:rsidRPr="005A38E5">
        <w:rPr>
          <w:rFonts w:ascii="Times New Roman" w:hAnsi="Times New Roman" w:cs="Times New Roman"/>
        </w:rPr>
        <w:t>MH SR zbiera i</w:t>
      </w:r>
      <w:r w:rsidRPr="005A38E5">
        <w:rPr>
          <w:rFonts w:ascii="Times New Roman" w:hAnsi="Times New Roman" w:cs="Times New Roman"/>
        </w:rPr>
        <w:t>dentifikačné údaje za účelom evidencie účastníkov ex post konzultácií pre potreby Plánu obnovy a odolnosti SR.</w:t>
      </w:r>
    </w:p>
  </w:footnote>
  <w:footnote w:id="2">
    <w:p w14:paraId="78DD2E1B" w14:textId="23BAB36F" w:rsidR="00CB6BB0" w:rsidRPr="005A38E5" w:rsidRDefault="00CB6BB0" w:rsidP="00327AD7">
      <w:pPr>
        <w:pStyle w:val="Textpoznmkypodiarou"/>
        <w:jc w:val="both"/>
        <w:rPr>
          <w:rFonts w:ascii="Times New Roman" w:hAnsi="Times New Roman" w:cs="Times New Roman"/>
        </w:rPr>
      </w:pPr>
      <w:r w:rsidRPr="005A38E5">
        <w:rPr>
          <w:rStyle w:val="Odkaznapoznmkupodiarou"/>
          <w:rFonts w:ascii="Times New Roman" w:hAnsi="Times New Roman" w:cs="Times New Roman"/>
        </w:rPr>
        <w:footnoteRef/>
      </w:r>
      <w:r w:rsidRPr="005A38E5">
        <w:rPr>
          <w:rFonts w:ascii="Times New Roman" w:hAnsi="Times New Roman" w:cs="Times New Roman"/>
        </w:rPr>
        <w:t xml:space="preserve"> V prípade zvolenia „Nie“ Vaša odpoveď ako dotknutého podnikateľského subjektu bude zverejnená v anonymizovanej podobe (bez uvedenia </w:t>
      </w:r>
      <w:r w:rsidR="00381493" w:rsidRPr="005A38E5">
        <w:rPr>
          <w:rFonts w:ascii="Times New Roman" w:hAnsi="Times New Roman" w:cs="Times New Roman"/>
        </w:rPr>
        <w:t xml:space="preserve">identifikačných </w:t>
      </w:r>
      <w:r w:rsidRPr="005A38E5">
        <w:rPr>
          <w:rFonts w:ascii="Times New Roman" w:hAnsi="Times New Roman" w:cs="Times New Roman"/>
        </w:rP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85"/>
    <w:rsid w:val="000165FB"/>
    <w:rsid w:val="000218F6"/>
    <w:rsid w:val="00025CF6"/>
    <w:rsid w:val="000A0E30"/>
    <w:rsid w:val="000C1556"/>
    <w:rsid w:val="00124745"/>
    <w:rsid w:val="00166D85"/>
    <w:rsid w:val="001F5F52"/>
    <w:rsid w:val="00204897"/>
    <w:rsid w:val="00207FFA"/>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176A4"/>
    <w:rsid w:val="004208E5"/>
    <w:rsid w:val="00485E48"/>
    <w:rsid w:val="004A3717"/>
    <w:rsid w:val="004E0FF7"/>
    <w:rsid w:val="004F4A2E"/>
    <w:rsid w:val="00542C95"/>
    <w:rsid w:val="00547782"/>
    <w:rsid w:val="0055776A"/>
    <w:rsid w:val="00577599"/>
    <w:rsid w:val="005A38E5"/>
    <w:rsid w:val="005D78EC"/>
    <w:rsid w:val="00600B3D"/>
    <w:rsid w:val="006353DE"/>
    <w:rsid w:val="006620D0"/>
    <w:rsid w:val="00667CC3"/>
    <w:rsid w:val="00680AD8"/>
    <w:rsid w:val="0069250C"/>
    <w:rsid w:val="0073519E"/>
    <w:rsid w:val="00735E22"/>
    <w:rsid w:val="00762E3B"/>
    <w:rsid w:val="00763341"/>
    <w:rsid w:val="00797C07"/>
    <w:rsid w:val="007D47E9"/>
    <w:rsid w:val="008027ED"/>
    <w:rsid w:val="0081498E"/>
    <w:rsid w:val="0081703E"/>
    <w:rsid w:val="00817586"/>
    <w:rsid w:val="008442FD"/>
    <w:rsid w:val="00861D70"/>
    <w:rsid w:val="00866224"/>
    <w:rsid w:val="008A1847"/>
    <w:rsid w:val="00914417"/>
    <w:rsid w:val="0099453A"/>
    <w:rsid w:val="009D2D37"/>
    <w:rsid w:val="00A11126"/>
    <w:rsid w:val="00A43C55"/>
    <w:rsid w:val="00A72FC7"/>
    <w:rsid w:val="00AD456D"/>
    <w:rsid w:val="00AD4CCE"/>
    <w:rsid w:val="00B00D82"/>
    <w:rsid w:val="00B56D42"/>
    <w:rsid w:val="00B65DF1"/>
    <w:rsid w:val="00B92353"/>
    <w:rsid w:val="00C02614"/>
    <w:rsid w:val="00C032B9"/>
    <w:rsid w:val="00C24D3C"/>
    <w:rsid w:val="00C51AA2"/>
    <w:rsid w:val="00CA4C0A"/>
    <w:rsid w:val="00CB540D"/>
    <w:rsid w:val="00CB6BB0"/>
    <w:rsid w:val="00D00662"/>
    <w:rsid w:val="00D320C8"/>
    <w:rsid w:val="00D43C6C"/>
    <w:rsid w:val="00D46200"/>
    <w:rsid w:val="00D63923"/>
    <w:rsid w:val="00D9665D"/>
    <w:rsid w:val="00DB7B24"/>
    <w:rsid w:val="00DD62DB"/>
    <w:rsid w:val="00DE5289"/>
    <w:rsid w:val="00E442CF"/>
    <w:rsid w:val="00E63137"/>
    <w:rsid w:val="00E74578"/>
    <w:rsid w:val="00E8549F"/>
    <w:rsid w:val="00E92660"/>
    <w:rsid w:val="00EA3E9A"/>
    <w:rsid w:val="00ED6FE8"/>
    <w:rsid w:val="00F40916"/>
    <w:rsid w:val="00F42411"/>
    <w:rsid w:val="00F67ED7"/>
    <w:rsid w:val="00FB1E9B"/>
    <w:rsid w:val="00FB2E21"/>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Sil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bica.kasiko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post@mh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A857-BB07-4E3C-9148-8CAE86FF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435</Words>
  <Characters>2850</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Kašíková, Ľubica</cp:lastModifiedBy>
  <cp:revision>4</cp:revision>
  <cp:lastPrinted>2024-08-26T14:14:00Z</cp:lastPrinted>
  <dcterms:created xsi:type="dcterms:W3CDTF">2024-08-22T13:04:00Z</dcterms:created>
  <dcterms:modified xsi:type="dcterms:W3CDTF">2024-08-26T14:16:00Z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