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8E771" w14:textId="77777777" w:rsidR="00163042" w:rsidRDefault="00163042" w:rsidP="00163042">
      <w:pPr>
        <w:jc w:val="right"/>
      </w:pPr>
      <w:r>
        <w:rPr>
          <w:rFonts w:eastAsia="Calibri"/>
          <w:b/>
          <w:noProof/>
          <w:lang w:eastAsia="sk-SK"/>
        </w:rPr>
        <w:drawing>
          <wp:inline distT="0" distB="0" distL="0" distR="0" wp14:anchorId="04643E29" wp14:editId="14B14C05">
            <wp:extent cx="2975212" cy="722206"/>
            <wp:effectExtent l="0" t="0" r="0" b="190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H SK BW.png"/>
                    <pic:cNvPicPr/>
                  </pic:nvPicPr>
                  <pic:blipFill>
                    <a:blip r:embed="rId10" cstate="print">
                      <a:extLst>
                        <a:ext uri="{BEBA8EAE-BF5A-486C-A8C5-ECC9F3942E4B}">
                          <a14:imgProps xmlns:a14="http://schemas.microsoft.com/office/drawing/2010/main">
                            <a14:imgLayer r:embed="rId11">
                              <a14:imgEffect>
                                <a14:brightnessContrast contrast="-96000"/>
                              </a14:imgEffect>
                            </a14:imgLayer>
                          </a14:imgProps>
                        </a:ext>
                        <a:ext uri="{28A0092B-C50C-407E-A947-70E740481C1C}">
                          <a14:useLocalDpi xmlns:a14="http://schemas.microsoft.com/office/drawing/2010/main" val="0"/>
                        </a:ext>
                      </a:extLst>
                    </a:blip>
                    <a:stretch>
                      <a:fillRect/>
                    </a:stretch>
                  </pic:blipFill>
                  <pic:spPr>
                    <a:xfrm>
                      <a:off x="0" y="0"/>
                      <a:ext cx="2975481" cy="722271"/>
                    </a:xfrm>
                    <a:prstGeom prst="rect">
                      <a:avLst/>
                    </a:prstGeom>
                  </pic:spPr>
                </pic:pic>
              </a:graphicData>
            </a:graphic>
          </wp:inline>
        </w:drawing>
      </w:r>
      <w:r w:rsidRPr="003B443B">
        <w:br/>
      </w:r>
      <w:r w:rsidRPr="003B443B">
        <w:br/>
      </w:r>
      <w:r w:rsidRPr="003B443B">
        <w:br/>
      </w:r>
      <w:r w:rsidRPr="003B443B">
        <w:br/>
      </w:r>
      <w:r w:rsidRPr="003B443B">
        <w:br/>
      </w:r>
      <w:r w:rsidRPr="003B443B">
        <w:br/>
      </w:r>
      <w:r w:rsidRPr="003B443B">
        <w:br/>
      </w:r>
      <w:r w:rsidRPr="003B443B">
        <w:br/>
      </w:r>
    </w:p>
    <w:p w14:paraId="02A488B2" w14:textId="28C0D26D" w:rsidR="00163042" w:rsidRPr="003B443B" w:rsidRDefault="00163042" w:rsidP="00163042">
      <w:pPr>
        <w:rPr>
          <w:rFonts w:ascii="Arial" w:hAnsi="Arial" w:cs="Arial"/>
          <w:b/>
          <w:bCs/>
          <w:color w:val="808285"/>
          <w:position w:val="-2"/>
        </w:rPr>
      </w:pPr>
      <w:r w:rsidRPr="003B443B">
        <w:br/>
      </w:r>
      <w:r w:rsidRPr="003B443B">
        <w:br/>
      </w:r>
    </w:p>
    <w:p w14:paraId="7D1CD181" w14:textId="77777777" w:rsidR="00163042" w:rsidRPr="000518D2" w:rsidRDefault="00163042" w:rsidP="00163042">
      <w:pPr>
        <w:autoSpaceDE w:val="0"/>
        <w:autoSpaceDN w:val="0"/>
        <w:spacing w:line="1260" w:lineRule="exact"/>
        <w:ind w:left="-284" w:right="-20"/>
        <w:jc w:val="center"/>
        <w:rPr>
          <w:rFonts w:cs="Arial"/>
          <w:b/>
          <w:sz w:val="144"/>
          <w:szCs w:val="120"/>
        </w:rPr>
      </w:pPr>
      <w:r w:rsidRPr="000518D2">
        <w:rPr>
          <w:rFonts w:cs="Arial"/>
          <w:b/>
          <w:color w:val="808285"/>
          <w:position w:val="-2"/>
          <w:sz w:val="144"/>
          <w:szCs w:val="120"/>
        </w:rPr>
        <w:t>VESTNÍK</w:t>
      </w:r>
    </w:p>
    <w:p w14:paraId="559E2E96" w14:textId="77777777" w:rsidR="00163042" w:rsidRPr="000518D2" w:rsidRDefault="00163042" w:rsidP="00163042">
      <w:pPr>
        <w:autoSpaceDE w:val="0"/>
        <w:autoSpaceDN w:val="0"/>
        <w:spacing w:line="190" w:lineRule="exact"/>
        <w:rPr>
          <w:rFonts w:cs="Arial"/>
          <w:sz w:val="19"/>
          <w:szCs w:val="19"/>
        </w:rPr>
      </w:pPr>
    </w:p>
    <w:p w14:paraId="306E107A" w14:textId="77777777" w:rsidR="00163042" w:rsidRPr="000518D2" w:rsidRDefault="00163042" w:rsidP="00163042">
      <w:pPr>
        <w:autoSpaceDE w:val="0"/>
        <w:autoSpaceDN w:val="0"/>
        <w:spacing w:line="200" w:lineRule="exact"/>
        <w:rPr>
          <w:rFonts w:cs="Arial"/>
        </w:rPr>
      </w:pPr>
    </w:p>
    <w:p w14:paraId="7CF7ED59" w14:textId="77777777" w:rsidR="00163042" w:rsidRPr="000518D2" w:rsidRDefault="00163042" w:rsidP="00163042">
      <w:pPr>
        <w:autoSpaceDE w:val="0"/>
        <w:autoSpaceDN w:val="0"/>
        <w:spacing w:line="200" w:lineRule="exact"/>
        <w:rPr>
          <w:rFonts w:cs="Arial"/>
        </w:rPr>
      </w:pPr>
    </w:p>
    <w:p w14:paraId="4E596006" w14:textId="77777777" w:rsidR="00163042" w:rsidRPr="000518D2" w:rsidRDefault="00163042" w:rsidP="00163042">
      <w:pPr>
        <w:autoSpaceDE w:val="0"/>
        <w:autoSpaceDN w:val="0"/>
        <w:spacing w:line="200" w:lineRule="exact"/>
      </w:pPr>
    </w:p>
    <w:p w14:paraId="55C5A736" w14:textId="77777777" w:rsidR="00163042" w:rsidRPr="000518D2" w:rsidRDefault="00163042" w:rsidP="00163042">
      <w:pPr>
        <w:autoSpaceDE w:val="0"/>
        <w:autoSpaceDN w:val="0"/>
        <w:spacing w:line="200" w:lineRule="exact"/>
      </w:pPr>
    </w:p>
    <w:p w14:paraId="217EB935" w14:textId="77777777" w:rsidR="00163042" w:rsidRPr="000518D2" w:rsidRDefault="00163042" w:rsidP="00163042">
      <w:pPr>
        <w:autoSpaceDE w:val="0"/>
        <w:autoSpaceDN w:val="0"/>
        <w:spacing w:line="200" w:lineRule="exact"/>
      </w:pPr>
    </w:p>
    <w:p w14:paraId="1593DCA8" w14:textId="77777777" w:rsidR="00163042" w:rsidRPr="000518D2" w:rsidRDefault="00163042" w:rsidP="00163042">
      <w:pPr>
        <w:autoSpaceDE w:val="0"/>
        <w:autoSpaceDN w:val="0"/>
        <w:spacing w:line="200" w:lineRule="exact"/>
      </w:pPr>
    </w:p>
    <w:p w14:paraId="7ACEA8C6" w14:textId="77777777" w:rsidR="00163042" w:rsidRDefault="00163042" w:rsidP="00163042">
      <w:pPr>
        <w:autoSpaceDE w:val="0"/>
        <w:autoSpaceDN w:val="0"/>
        <w:spacing w:line="200" w:lineRule="exact"/>
      </w:pPr>
    </w:p>
    <w:p w14:paraId="3548CB74" w14:textId="77777777" w:rsidR="00163042" w:rsidRDefault="00163042" w:rsidP="00163042">
      <w:pPr>
        <w:autoSpaceDE w:val="0"/>
        <w:autoSpaceDN w:val="0"/>
        <w:spacing w:line="200" w:lineRule="exact"/>
      </w:pPr>
    </w:p>
    <w:p w14:paraId="652D9FC0" w14:textId="77777777" w:rsidR="00163042" w:rsidRPr="000518D2" w:rsidRDefault="00163042" w:rsidP="00163042">
      <w:pPr>
        <w:autoSpaceDE w:val="0"/>
        <w:autoSpaceDN w:val="0"/>
        <w:spacing w:line="200" w:lineRule="exact"/>
      </w:pPr>
    </w:p>
    <w:p w14:paraId="22567147" w14:textId="77777777" w:rsidR="00163042" w:rsidRDefault="00163042" w:rsidP="00163042">
      <w:pPr>
        <w:autoSpaceDE w:val="0"/>
        <w:autoSpaceDN w:val="0"/>
        <w:spacing w:line="200" w:lineRule="exact"/>
      </w:pPr>
    </w:p>
    <w:p w14:paraId="6944732D" w14:textId="77777777" w:rsidR="00163042" w:rsidRDefault="00163042" w:rsidP="00163042">
      <w:pPr>
        <w:autoSpaceDE w:val="0"/>
        <w:autoSpaceDN w:val="0"/>
        <w:spacing w:line="200" w:lineRule="exact"/>
        <w:rPr>
          <w:sz w:val="10"/>
          <w:szCs w:val="10"/>
        </w:rPr>
      </w:pPr>
    </w:p>
    <w:p w14:paraId="02038302" w14:textId="63B0F71F" w:rsidR="00163042" w:rsidRPr="00566069" w:rsidRDefault="00163042" w:rsidP="00163042">
      <w:pPr>
        <w:autoSpaceDE w:val="0"/>
        <w:autoSpaceDN w:val="0"/>
        <w:spacing w:line="200" w:lineRule="exact"/>
        <w:rPr>
          <w:sz w:val="10"/>
          <w:szCs w:val="10"/>
        </w:rPr>
      </w:pPr>
      <w:r w:rsidRPr="00566069">
        <w:rPr>
          <w:sz w:val="10"/>
          <w:szCs w:val="10"/>
        </w:rPr>
        <w:br/>
      </w:r>
      <w:r w:rsidR="007C3A37">
        <w:rPr>
          <w:sz w:val="10"/>
          <w:szCs w:val="10"/>
        </w:rPr>
        <w:br/>
      </w:r>
      <w:r w:rsidR="007C3A37">
        <w:rPr>
          <w:sz w:val="10"/>
          <w:szCs w:val="10"/>
        </w:rPr>
        <w:br/>
      </w:r>
    </w:p>
    <w:p w14:paraId="5BC5884A" w14:textId="77777777" w:rsidR="00163042" w:rsidRPr="000518D2" w:rsidRDefault="00163042" w:rsidP="00163042">
      <w:pPr>
        <w:autoSpaceDE w:val="0"/>
        <w:autoSpaceDN w:val="0"/>
        <w:ind w:left="103" w:right="-1725"/>
        <w:rPr>
          <w:rFonts w:cs="Arial"/>
          <w:color w:val="808285"/>
          <w:position w:val="-2"/>
          <w:szCs w:val="36"/>
        </w:rPr>
      </w:pPr>
    </w:p>
    <w:p w14:paraId="5FA96F76" w14:textId="2CE0E2B4" w:rsidR="00163042" w:rsidRPr="000518D2" w:rsidRDefault="00DA53E7" w:rsidP="007C3A37">
      <w:pPr>
        <w:autoSpaceDE w:val="0"/>
        <w:autoSpaceDN w:val="0"/>
        <w:spacing w:before="100" w:after="0" w:line="740" w:lineRule="exact"/>
        <w:ind w:right="-1724"/>
        <w:rPr>
          <w:rFonts w:cs="Arial"/>
          <w:color w:val="808285"/>
          <w:sz w:val="8"/>
        </w:rPr>
      </w:pPr>
      <w:r>
        <w:rPr>
          <w:rFonts w:cs="Arial"/>
          <w:color w:val="808285"/>
          <w:position w:val="-2"/>
          <w:sz w:val="40"/>
          <w:szCs w:val="36"/>
        </w:rPr>
        <w:t>December</w:t>
      </w:r>
      <w:r w:rsidR="00163042">
        <w:rPr>
          <w:rFonts w:cs="Arial"/>
          <w:color w:val="808285"/>
          <w:position w:val="-2"/>
          <w:sz w:val="40"/>
          <w:szCs w:val="36"/>
        </w:rPr>
        <w:t xml:space="preserve"> </w:t>
      </w:r>
      <w:r w:rsidR="00163042" w:rsidRPr="000518D2">
        <w:rPr>
          <w:rFonts w:cs="Arial"/>
          <w:color w:val="808285"/>
          <w:spacing w:val="-33"/>
          <w:position w:val="-2"/>
          <w:sz w:val="10"/>
          <w:szCs w:val="8"/>
        </w:rPr>
        <w:t xml:space="preserve">     </w:t>
      </w:r>
      <w:r w:rsidR="00163042" w:rsidRPr="000518D2">
        <w:rPr>
          <w:rFonts w:cs="Arial"/>
          <w:color w:val="808285"/>
          <w:position w:val="-2"/>
          <w:sz w:val="72"/>
          <w:szCs w:val="68"/>
        </w:rPr>
        <w:t>20</w:t>
      </w:r>
      <w:r w:rsidR="00CA74EE">
        <w:rPr>
          <w:rFonts w:cs="Arial"/>
          <w:color w:val="808285"/>
          <w:position w:val="-2"/>
          <w:sz w:val="72"/>
          <w:szCs w:val="68"/>
        </w:rPr>
        <w:t>20</w:t>
      </w:r>
      <w:r w:rsidR="00163042" w:rsidRPr="000518D2">
        <w:rPr>
          <w:rFonts w:cs="Arial"/>
          <w:color w:val="808285"/>
          <w:position w:val="-2"/>
          <w:sz w:val="72"/>
          <w:szCs w:val="68"/>
        </w:rPr>
        <w:t xml:space="preserve">       </w:t>
      </w:r>
      <w:r w:rsidR="00163042" w:rsidRPr="000518D2">
        <w:rPr>
          <w:rFonts w:cs="Arial"/>
          <w:color w:val="808285"/>
          <w:position w:val="-2"/>
          <w:sz w:val="72"/>
          <w:szCs w:val="68"/>
        </w:rPr>
        <w:tab/>
        <w:t xml:space="preserve">   </w:t>
      </w:r>
      <w:r w:rsidR="00163042">
        <w:rPr>
          <w:rFonts w:cs="Arial"/>
          <w:color w:val="808285"/>
          <w:position w:val="-2"/>
          <w:sz w:val="72"/>
          <w:szCs w:val="68"/>
        </w:rPr>
        <w:t xml:space="preserve">              </w:t>
      </w:r>
      <w:r w:rsidR="00163042" w:rsidRPr="000518D2">
        <w:rPr>
          <w:rFonts w:cs="Arial"/>
          <w:color w:val="808285"/>
          <w:position w:val="-2"/>
          <w:sz w:val="40"/>
          <w:szCs w:val="36"/>
        </w:rPr>
        <w:t>čiastka</w:t>
      </w:r>
      <w:r w:rsidR="00163042" w:rsidRPr="000518D2">
        <w:rPr>
          <w:rFonts w:cs="Arial"/>
          <w:color w:val="808285"/>
          <w:spacing w:val="-22"/>
          <w:position w:val="-2"/>
          <w:sz w:val="40"/>
          <w:szCs w:val="36"/>
        </w:rPr>
        <w:t xml:space="preserve"> </w:t>
      </w:r>
      <w:r>
        <w:rPr>
          <w:rFonts w:cs="Arial"/>
          <w:color w:val="808285"/>
          <w:position w:val="-2"/>
          <w:sz w:val="72"/>
          <w:szCs w:val="68"/>
        </w:rPr>
        <w:t>2</w:t>
      </w:r>
    </w:p>
    <w:p w14:paraId="55E5EF89" w14:textId="7B061E25" w:rsidR="009D07FA" w:rsidRDefault="007C3A37" w:rsidP="007C3A37">
      <w:pPr>
        <w:spacing w:after="0" w:line="240" w:lineRule="auto"/>
        <w:rPr>
          <w:rFonts w:cs="Arial"/>
          <w:color w:val="808285"/>
          <w:sz w:val="28"/>
        </w:rPr>
        <w:sectPr w:rsidR="009D07FA" w:rsidSect="007A5CEA">
          <w:footerReference w:type="even" r:id="rId12"/>
          <w:footerReference w:type="default" r:id="rId13"/>
          <w:footerReference w:type="first" r:id="rId14"/>
          <w:pgSz w:w="11906" w:h="16838" w:code="9"/>
          <w:pgMar w:top="1418" w:right="1134" w:bottom="1418" w:left="1134" w:header="709" w:footer="709" w:gutter="0"/>
          <w:cols w:space="708"/>
          <w:titlePg/>
          <w:docGrid w:linePitch="360"/>
        </w:sectPr>
      </w:pPr>
      <w:r w:rsidRPr="000518D2">
        <w:rPr>
          <w:rFonts w:cs="Arial"/>
          <w:noProof/>
          <w:sz w:val="28"/>
          <w:lang w:eastAsia="sk-SK"/>
        </w:rPr>
        <mc:AlternateContent>
          <mc:Choice Requires="wps">
            <w:drawing>
              <wp:anchor distT="0" distB="0" distL="114300" distR="114300" simplePos="0" relativeHeight="251659264" behindDoc="1" locked="0" layoutInCell="0" allowOverlap="1" wp14:anchorId="70BE0ADD" wp14:editId="41A0A5F1">
                <wp:simplePos x="0" y="0"/>
                <wp:positionH relativeFrom="page">
                  <wp:posOffset>567690</wp:posOffset>
                </wp:positionH>
                <wp:positionV relativeFrom="page">
                  <wp:posOffset>9474427</wp:posOffset>
                </wp:positionV>
                <wp:extent cx="6172200" cy="12700"/>
                <wp:effectExtent l="0" t="0" r="19050" b="6350"/>
                <wp:wrapNone/>
                <wp:docPr id="2" name="Voľná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2700"/>
                        </a:xfrm>
                        <a:custGeom>
                          <a:avLst/>
                          <a:gdLst>
                            <a:gd name="T0" fmla="*/ 0 w 9720"/>
                            <a:gd name="T1" fmla="*/ 0 h 20"/>
                            <a:gd name="T2" fmla="*/ 9720 w 9720"/>
                            <a:gd name="T3" fmla="*/ 0 h 20"/>
                          </a:gdLst>
                          <a:ahLst/>
                          <a:cxnLst>
                            <a:cxn ang="0">
                              <a:pos x="T0" y="T1"/>
                            </a:cxn>
                            <a:cxn ang="0">
                              <a:pos x="T2" y="T3"/>
                            </a:cxn>
                          </a:cxnLst>
                          <a:rect l="0" t="0" r="r" b="b"/>
                          <a:pathLst>
                            <a:path w="9720" h="20">
                              <a:moveTo>
                                <a:pt x="0" y="0"/>
                              </a:moveTo>
                              <a:lnTo>
                                <a:pt x="9720" y="0"/>
                              </a:lnTo>
                            </a:path>
                          </a:pathLst>
                        </a:custGeom>
                        <a:noFill/>
                        <a:ln w="2540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FEC20D4" id="Voľná forma 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7pt,746pt,530.7pt,746pt" coordsize="9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" o:allowincell="f" filled="f" strokecolor="#808285" strokeweight="2pt">
                <v:path arrowok="t" o:connecttype="custom" o:connectlocs="0,0;6172200,0" o:connectangles="0,0"/>
                <w10:wrap anchorx="page" anchory="page"/>
              </v:polyline>
            </w:pict>
          </mc:Fallback>
        </mc:AlternateContent>
      </w:r>
      <w:r w:rsidR="00163042" w:rsidRPr="007C3A37">
        <w:rPr>
          <w:rFonts w:cs="Arial"/>
          <w:color w:val="808285"/>
          <w:sz w:val="8"/>
          <w:szCs w:val="8"/>
        </w:rPr>
        <w:br/>
      </w:r>
      <w:r w:rsidR="00163042">
        <w:rPr>
          <w:rFonts w:cs="Arial"/>
          <w:color w:val="808285"/>
          <w:sz w:val="10"/>
          <w:szCs w:val="10"/>
        </w:rPr>
        <w:t xml:space="preserve"> </w:t>
      </w:r>
      <w:r w:rsidR="00163042" w:rsidRPr="000518D2">
        <w:rPr>
          <w:rFonts w:cs="Arial"/>
          <w:color w:val="808285"/>
          <w:sz w:val="28"/>
        </w:rPr>
        <w:t>ročník: XX</w:t>
      </w:r>
      <w:r w:rsidR="00163042">
        <w:rPr>
          <w:rFonts w:cs="Arial"/>
          <w:color w:val="808285"/>
          <w:sz w:val="28"/>
        </w:rPr>
        <w:t>V</w:t>
      </w:r>
      <w:r w:rsidR="00163042" w:rsidRPr="000518D2">
        <w:rPr>
          <w:rFonts w:cs="Arial"/>
          <w:color w:val="808285"/>
          <w:sz w:val="28"/>
        </w:rPr>
        <w:t>.</w:t>
      </w:r>
      <w:r w:rsidR="00163042">
        <w:rPr>
          <w:rFonts w:cs="Arial"/>
          <w:color w:val="808285"/>
          <w:sz w:val="28"/>
        </w:rPr>
        <w:t xml:space="preserve">                        </w:t>
      </w:r>
      <w:r w:rsidR="00163042" w:rsidRPr="000518D2">
        <w:rPr>
          <w:rFonts w:cs="Arial"/>
          <w:color w:val="808285"/>
          <w:sz w:val="28"/>
        </w:rPr>
        <w:t xml:space="preserve">                                                         </w:t>
      </w:r>
      <w:r w:rsidR="00DC2A27">
        <w:rPr>
          <w:rFonts w:cs="Arial"/>
          <w:color w:val="808285"/>
          <w:sz w:val="28"/>
        </w:rPr>
        <w:t xml:space="preserve">                 </w:t>
      </w:r>
      <w:r w:rsidR="00B27150">
        <w:rPr>
          <w:rFonts w:cs="Arial"/>
          <w:color w:val="808285"/>
          <w:sz w:val="28"/>
        </w:rPr>
        <w:t xml:space="preserve"> </w:t>
      </w:r>
      <w:r w:rsidR="00DC2A27">
        <w:rPr>
          <w:rFonts w:cs="Arial"/>
          <w:color w:val="808285"/>
          <w:sz w:val="28"/>
        </w:rPr>
        <w:t xml:space="preserve"> </w:t>
      </w:r>
      <w:r w:rsidR="00163042" w:rsidRPr="000518D2">
        <w:rPr>
          <w:rFonts w:cs="Arial"/>
          <w:color w:val="808285"/>
          <w:sz w:val="28"/>
        </w:rPr>
        <w:t>ISSN</w:t>
      </w:r>
      <w:r w:rsidR="00163042" w:rsidRPr="000518D2">
        <w:rPr>
          <w:rFonts w:cs="Arial"/>
          <w:color w:val="808285"/>
          <w:spacing w:val="-6"/>
          <w:sz w:val="28"/>
        </w:rPr>
        <w:t xml:space="preserve"> </w:t>
      </w:r>
      <w:r w:rsidR="00163042">
        <w:rPr>
          <w:rFonts w:cs="Arial"/>
          <w:color w:val="808285"/>
          <w:sz w:val="28"/>
        </w:rPr>
        <w:t>1336-32</w:t>
      </w:r>
    </w:p>
    <w:p w14:paraId="5D42643D" w14:textId="77777777" w:rsidR="008551D6" w:rsidRDefault="009D07FA" w:rsidP="00D336A5">
      <w:pPr>
        <w:spacing w:after="0"/>
        <w:rPr>
          <w:rFonts w:ascii="Times New Roman" w:hAnsi="Times New Roman" w:cs="Times New Roman"/>
          <w:b/>
          <w:sz w:val="24"/>
          <w:szCs w:val="24"/>
          <w:lang w:eastAsia="sk-SK"/>
        </w:rPr>
      </w:pPr>
      <w:r w:rsidRPr="00310F8B">
        <w:rPr>
          <w:rFonts w:ascii="Times New Roman" w:hAnsi="Times New Roman" w:cs="Times New Roman"/>
          <w:b/>
          <w:sz w:val="24"/>
          <w:szCs w:val="24"/>
          <w:lang w:eastAsia="sk-SK"/>
        </w:rPr>
        <w:lastRenderedPageBreak/>
        <w:tab/>
      </w:r>
      <w:r w:rsidRPr="00310F8B">
        <w:rPr>
          <w:rFonts w:ascii="Times New Roman" w:hAnsi="Times New Roman" w:cs="Times New Roman"/>
          <w:b/>
          <w:sz w:val="24"/>
          <w:szCs w:val="24"/>
          <w:lang w:eastAsia="sk-SK"/>
        </w:rPr>
        <w:tab/>
      </w:r>
      <w:r w:rsidRPr="00310F8B">
        <w:rPr>
          <w:rFonts w:ascii="Times New Roman" w:hAnsi="Times New Roman" w:cs="Times New Roman"/>
          <w:b/>
          <w:sz w:val="24"/>
          <w:szCs w:val="24"/>
          <w:lang w:eastAsia="sk-SK"/>
        </w:rPr>
        <w:tab/>
      </w:r>
      <w:r w:rsidRPr="00310F8B">
        <w:rPr>
          <w:rFonts w:ascii="Times New Roman" w:hAnsi="Times New Roman" w:cs="Times New Roman"/>
          <w:b/>
          <w:sz w:val="24"/>
          <w:szCs w:val="24"/>
          <w:lang w:eastAsia="sk-SK"/>
        </w:rPr>
        <w:tab/>
      </w:r>
      <w:r w:rsidRPr="00310F8B">
        <w:rPr>
          <w:rFonts w:ascii="Times New Roman" w:hAnsi="Times New Roman" w:cs="Times New Roman"/>
          <w:b/>
          <w:sz w:val="24"/>
          <w:szCs w:val="24"/>
          <w:lang w:eastAsia="sk-SK"/>
        </w:rPr>
        <w:tab/>
      </w:r>
      <w:r w:rsidRPr="00310F8B">
        <w:rPr>
          <w:rFonts w:ascii="Times New Roman" w:hAnsi="Times New Roman" w:cs="Times New Roman"/>
          <w:b/>
          <w:sz w:val="24"/>
          <w:szCs w:val="24"/>
          <w:lang w:eastAsia="sk-SK"/>
        </w:rPr>
        <w:tab/>
        <w:t xml:space="preserve"> </w:t>
      </w:r>
    </w:p>
    <w:p w14:paraId="3FBF0F70" w14:textId="77777777" w:rsidR="008551D6" w:rsidRDefault="008551D6" w:rsidP="008551D6">
      <w:pPr>
        <w:spacing w:after="0"/>
        <w:jc w:val="center"/>
        <w:rPr>
          <w:rFonts w:ascii="Times New Roman" w:hAnsi="Times New Roman" w:cs="Times New Roman"/>
          <w:b/>
          <w:sz w:val="24"/>
          <w:szCs w:val="24"/>
          <w:lang w:eastAsia="sk-SK"/>
        </w:rPr>
      </w:pPr>
    </w:p>
    <w:p w14:paraId="3393E81F" w14:textId="570C5718" w:rsidR="00310F8B" w:rsidRDefault="009D07FA" w:rsidP="008551D6">
      <w:pPr>
        <w:spacing w:after="0"/>
        <w:jc w:val="center"/>
        <w:rPr>
          <w:rFonts w:ascii="Times New Roman" w:hAnsi="Times New Roman" w:cs="Times New Roman"/>
          <w:sz w:val="24"/>
          <w:szCs w:val="24"/>
        </w:rPr>
      </w:pPr>
      <w:r w:rsidRPr="00310F8B">
        <w:rPr>
          <w:rFonts w:ascii="Times New Roman" w:hAnsi="Times New Roman" w:cs="Times New Roman"/>
          <w:b/>
          <w:sz w:val="24"/>
          <w:szCs w:val="24"/>
          <w:lang w:eastAsia="sk-SK"/>
        </w:rPr>
        <w:t>Obsah</w:t>
      </w:r>
      <w:r w:rsidR="00BB1475" w:rsidRPr="00310F8B">
        <w:rPr>
          <w:rFonts w:ascii="Times New Roman" w:hAnsi="Times New Roman" w:cs="Times New Roman"/>
          <w:b/>
          <w:sz w:val="24"/>
          <w:szCs w:val="24"/>
          <w:lang w:eastAsia="sk-SK"/>
        </w:rPr>
        <w:br/>
      </w:r>
      <w:r w:rsidR="00F21C84" w:rsidRPr="00310F8B">
        <w:rPr>
          <w:rFonts w:ascii="Times New Roman" w:hAnsi="Times New Roman" w:cs="Times New Roman"/>
          <w:sz w:val="24"/>
          <w:szCs w:val="24"/>
        </w:rPr>
        <w:br/>
      </w:r>
      <w:r w:rsidR="00227178" w:rsidRPr="00D336A5">
        <w:rPr>
          <w:rFonts w:ascii="Times New Roman" w:hAnsi="Times New Roman" w:cs="Times New Roman"/>
          <w:sz w:val="24"/>
          <w:szCs w:val="24"/>
        </w:rPr>
        <w:t xml:space="preserve">Správa o výsledkoch monitorovania bezpečnosti dodávok elektriny za </w:t>
      </w:r>
      <w:r w:rsidR="00C148DF">
        <w:rPr>
          <w:rFonts w:ascii="Times New Roman" w:hAnsi="Times New Roman" w:cs="Times New Roman"/>
          <w:sz w:val="24"/>
          <w:szCs w:val="24"/>
        </w:rPr>
        <w:t xml:space="preserve">rok </w:t>
      </w:r>
      <w:r w:rsidR="00227178" w:rsidRPr="00D336A5">
        <w:rPr>
          <w:rFonts w:ascii="Times New Roman" w:hAnsi="Times New Roman" w:cs="Times New Roman"/>
          <w:sz w:val="24"/>
          <w:szCs w:val="24"/>
        </w:rPr>
        <w:t>2019</w:t>
      </w:r>
      <w:r w:rsidR="00BB1475" w:rsidRPr="00D336A5">
        <w:rPr>
          <w:rFonts w:ascii="Times New Roman" w:hAnsi="Times New Roman" w:cs="Times New Roman"/>
        </w:rPr>
        <w:t>.........</w:t>
      </w:r>
      <w:r w:rsidR="00D336A5">
        <w:rPr>
          <w:rFonts w:ascii="Times New Roman" w:hAnsi="Times New Roman" w:cs="Times New Roman"/>
        </w:rPr>
        <w:t>........</w:t>
      </w:r>
      <w:r w:rsidR="00BB1475" w:rsidRPr="00D336A5">
        <w:rPr>
          <w:rFonts w:ascii="Times New Roman" w:hAnsi="Times New Roman" w:cs="Times New Roman"/>
        </w:rPr>
        <w:t>..</w:t>
      </w:r>
      <w:r w:rsidR="005727CC" w:rsidRPr="00D336A5">
        <w:rPr>
          <w:rFonts w:ascii="Times New Roman" w:hAnsi="Times New Roman" w:cs="Times New Roman"/>
        </w:rPr>
        <w:t>.....</w:t>
      </w:r>
      <w:r w:rsidR="00BB1475" w:rsidRPr="00D336A5">
        <w:rPr>
          <w:rFonts w:ascii="Times New Roman" w:hAnsi="Times New Roman" w:cs="Times New Roman"/>
        </w:rPr>
        <w:t>..........</w:t>
      </w:r>
      <w:r w:rsidR="00310F8B" w:rsidRPr="00D336A5">
        <w:rPr>
          <w:rFonts w:ascii="Times New Roman" w:hAnsi="Times New Roman" w:cs="Times New Roman"/>
          <w:sz w:val="24"/>
          <w:szCs w:val="24"/>
        </w:rPr>
        <w:t>3</w:t>
      </w:r>
    </w:p>
    <w:p w14:paraId="47BD9048" w14:textId="77777777" w:rsidR="00D336A5" w:rsidRPr="00D336A5" w:rsidRDefault="00D336A5" w:rsidP="00D336A5">
      <w:pPr>
        <w:spacing w:after="0"/>
        <w:rPr>
          <w:rFonts w:ascii="Times New Roman" w:hAnsi="Times New Roman" w:cs="Times New Roman"/>
          <w:sz w:val="24"/>
          <w:szCs w:val="24"/>
        </w:rPr>
      </w:pPr>
    </w:p>
    <w:p w14:paraId="0BF60B5E" w14:textId="3C6E0312" w:rsidR="00310F8B" w:rsidRPr="00D336A5" w:rsidRDefault="00D336A5" w:rsidP="00D336A5">
      <w:pPr>
        <w:spacing w:after="0"/>
        <w:outlineLvl w:val="4"/>
        <w:rPr>
          <w:rFonts w:ascii="Times New Roman" w:hAnsi="Times New Roman" w:cs="Times New Roman"/>
          <w:sz w:val="24"/>
          <w:szCs w:val="24"/>
        </w:rPr>
      </w:pPr>
      <w:r w:rsidRPr="00D336A5">
        <w:rPr>
          <w:rFonts w:ascii="Times New Roman" w:hAnsi="Times New Roman" w:cs="Times New Roman"/>
          <w:bCs/>
          <w:sz w:val="24"/>
          <w:szCs w:val="24"/>
        </w:rPr>
        <w:t xml:space="preserve">Správa </w:t>
      </w:r>
      <w:r w:rsidRPr="00D336A5">
        <w:rPr>
          <w:rFonts w:ascii="Times New Roman" w:hAnsi="Times New Roman" w:cs="Times New Roman"/>
          <w:bCs/>
          <w:sz w:val="24"/>
          <w:szCs w:val="24"/>
          <w:lang w:eastAsia="cs-CZ"/>
        </w:rPr>
        <w:t>o výsledkoch monitorovania bezpečnosti dodávok plynu</w:t>
      </w:r>
      <w:r w:rsidR="00F21C84" w:rsidRPr="00D336A5">
        <w:rPr>
          <w:rFonts w:ascii="Times New Roman" w:hAnsi="Times New Roman" w:cs="Times New Roman"/>
        </w:rPr>
        <w:t>..................</w:t>
      </w:r>
      <w:r>
        <w:rPr>
          <w:rFonts w:ascii="Times New Roman" w:hAnsi="Times New Roman" w:cs="Times New Roman"/>
        </w:rPr>
        <w:t>........</w:t>
      </w:r>
      <w:r w:rsidR="00F21C84" w:rsidRPr="00D336A5">
        <w:rPr>
          <w:rFonts w:ascii="Times New Roman" w:hAnsi="Times New Roman" w:cs="Times New Roman"/>
        </w:rPr>
        <w:t>.......................</w:t>
      </w:r>
      <w:r w:rsidR="00310F8B" w:rsidRPr="00D336A5">
        <w:rPr>
          <w:rFonts w:ascii="Times New Roman" w:hAnsi="Times New Roman" w:cs="Times New Roman"/>
        </w:rPr>
        <w:t>.......</w:t>
      </w:r>
      <w:r w:rsidR="00F21C84" w:rsidRPr="00D336A5">
        <w:rPr>
          <w:rFonts w:ascii="Times New Roman" w:hAnsi="Times New Roman" w:cs="Times New Roman"/>
        </w:rPr>
        <w:t>...</w:t>
      </w:r>
      <w:r w:rsidR="00F21C84" w:rsidRPr="00D336A5">
        <w:rPr>
          <w:rFonts w:ascii="Times New Roman" w:hAnsi="Times New Roman" w:cs="Times New Roman"/>
          <w:sz w:val="24"/>
          <w:szCs w:val="24"/>
        </w:rPr>
        <w:t>4</w:t>
      </w:r>
      <w:r w:rsidR="00F27DBD">
        <w:rPr>
          <w:rFonts w:ascii="Times New Roman" w:hAnsi="Times New Roman" w:cs="Times New Roman"/>
          <w:sz w:val="24"/>
          <w:szCs w:val="24"/>
        </w:rPr>
        <w:t>6</w:t>
      </w:r>
      <w:r>
        <w:rPr>
          <w:rFonts w:ascii="Times New Roman" w:hAnsi="Times New Roman" w:cs="Times New Roman"/>
          <w:sz w:val="24"/>
          <w:szCs w:val="24"/>
        </w:rPr>
        <w:br/>
      </w:r>
    </w:p>
    <w:p w14:paraId="49D5578B" w14:textId="27749C23" w:rsidR="00D51EEF" w:rsidRPr="00D336A5" w:rsidRDefault="009D07FA" w:rsidP="00D336A5">
      <w:pPr>
        <w:pStyle w:val="Nadpis1"/>
        <w:jc w:val="both"/>
        <w:rPr>
          <w:b w:val="0"/>
          <w:sz w:val="24"/>
          <w:szCs w:val="24"/>
        </w:rPr>
      </w:pPr>
      <w:r w:rsidRPr="00D336A5">
        <w:rPr>
          <w:b w:val="0"/>
          <w:sz w:val="24"/>
          <w:szCs w:val="24"/>
        </w:rPr>
        <w:t>Zoznam vydaných osvedčení na výstavbu energetického zariadenia v roku 20</w:t>
      </w:r>
      <w:r w:rsidR="00BB1475" w:rsidRPr="00D336A5">
        <w:rPr>
          <w:b w:val="0"/>
          <w:sz w:val="24"/>
          <w:szCs w:val="24"/>
        </w:rPr>
        <w:t>20</w:t>
      </w:r>
      <w:r w:rsidR="00BC5E9E" w:rsidRPr="00D336A5">
        <w:rPr>
          <w:b w:val="0"/>
          <w:sz w:val="24"/>
          <w:szCs w:val="24"/>
        </w:rPr>
        <w:t>.</w:t>
      </w:r>
      <w:r w:rsidR="00D336A5">
        <w:rPr>
          <w:b w:val="0"/>
          <w:sz w:val="24"/>
          <w:szCs w:val="24"/>
        </w:rPr>
        <w:t>.</w:t>
      </w:r>
      <w:r w:rsidR="00BC5E9E" w:rsidRPr="00D336A5">
        <w:rPr>
          <w:b w:val="0"/>
          <w:sz w:val="24"/>
          <w:szCs w:val="24"/>
        </w:rPr>
        <w:t>...............</w:t>
      </w:r>
      <w:r w:rsidR="00D96295" w:rsidRPr="00D336A5">
        <w:rPr>
          <w:b w:val="0"/>
          <w:sz w:val="24"/>
          <w:szCs w:val="24"/>
        </w:rPr>
        <w:t>...</w:t>
      </w:r>
      <w:r w:rsidR="00BC5E9E" w:rsidRPr="00D336A5">
        <w:rPr>
          <w:b w:val="0"/>
          <w:sz w:val="24"/>
          <w:szCs w:val="24"/>
        </w:rPr>
        <w:t>.......</w:t>
      </w:r>
      <w:r w:rsidR="00D96295" w:rsidRPr="00D336A5">
        <w:rPr>
          <w:b w:val="0"/>
          <w:sz w:val="24"/>
          <w:szCs w:val="24"/>
        </w:rPr>
        <w:t>.</w:t>
      </w:r>
      <w:r w:rsidR="00F27DBD">
        <w:rPr>
          <w:b w:val="0"/>
          <w:sz w:val="24"/>
          <w:szCs w:val="24"/>
        </w:rPr>
        <w:t>67</w:t>
      </w:r>
    </w:p>
    <w:p w14:paraId="577F5D03" w14:textId="77777777" w:rsidR="009D07FA" w:rsidRPr="00310F8B" w:rsidRDefault="009D07FA" w:rsidP="005727CC">
      <w:pPr>
        <w:spacing w:after="0"/>
        <w:jc w:val="both"/>
        <w:rPr>
          <w:rFonts w:ascii="Times New Roman" w:hAnsi="Times New Roman" w:cs="Times New Roman"/>
          <w:sz w:val="24"/>
          <w:szCs w:val="24"/>
          <w:lang w:eastAsia="sk-SK"/>
        </w:rPr>
      </w:pPr>
    </w:p>
    <w:p w14:paraId="3837180B" w14:textId="2277B603" w:rsidR="00571871" w:rsidRPr="00310F8B" w:rsidRDefault="00D96295" w:rsidP="00F21C84">
      <w:pPr>
        <w:spacing w:after="0"/>
        <w:rPr>
          <w:rFonts w:ascii="Times New Roman" w:hAnsi="Times New Roman" w:cs="Times New Roman"/>
          <w:sz w:val="24"/>
          <w:szCs w:val="24"/>
          <w:lang w:eastAsia="sk-SK"/>
        </w:rPr>
      </w:pPr>
      <w:r w:rsidRPr="00310F8B">
        <w:rPr>
          <w:rFonts w:ascii="Times New Roman" w:hAnsi="Times New Roman" w:cs="Times New Roman"/>
          <w:sz w:val="24"/>
          <w:szCs w:val="24"/>
          <w:lang w:eastAsia="sk-SK"/>
        </w:rPr>
        <w:br/>
      </w:r>
    </w:p>
    <w:p w14:paraId="4092F62A" w14:textId="77777777" w:rsidR="00BB1475" w:rsidRPr="00310F8B" w:rsidRDefault="009D07FA" w:rsidP="00F21C84">
      <w:pPr>
        <w:spacing w:after="0" w:line="240" w:lineRule="auto"/>
        <w:rPr>
          <w:rFonts w:ascii="Times New Roman" w:hAnsi="Times New Roman" w:cs="Times New Roman"/>
          <w:b/>
          <w:sz w:val="24"/>
          <w:szCs w:val="24"/>
        </w:rPr>
      </w:pPr>
      <w:r w:rsidRPr="00310F8B">
        <w:rPr>
          <w:rFonts w:ascii="Times New Roman" w:hAnsi="Times New Roman" w:cs="Times New Roman"/>
          <w:sz w:val="24"/>
          <w:szCs w:val="24"/>
        </w:rPr>
        <w:tab/>
      </w:r>
      <w:r w:rsidRPr="00310F8B">
        <w:rPr>
          <w:rFonts w:ascii="Times New Roman" w:hAnsi="Times New Roman" w:cs="Times New Roman"/>
          <w:sz w:val="24"/>
          <w:szCs w:val="24"/>
        </w:rPr>
        <w:tab/>
      </w:r>
      <w:r w:rsidRPr="00310F8B">
        <w:rPr>
          <w:rFonts w:ascii="Times New Roman" w:hAnsi="Times New Roman" w:cs="Times New Roman"/>
          <w:sz w:val="24"/>
          <w:szCs w:val="24"/>
        </w:rPr>
        <w:tab/>
      </w:r>
      <w:r w:rsidRPr="00310F8B">
        <w:rPr>
          <w:rFonts w:ascii="Times New Roman" w:hAnsi="Times New Roman" w:cs="Times New Roman"/>
          <w:sz w:val="24"/>
          <w:szCs w:val="24"/>
        </w:rPr>
        <w:tab/>
      </w:r>
      <w:r w:rsidRPr="00310F8B">
        <w:rPr>
          <w:rFonts w:ascii="Times New Roman" w:hAnsi="Times New Roman" w:cs="Times New Roman"/>
          <w:sz w:val="24"/>
          <w:szCs w:val="24"/>
        </w:rPr>
        <w:tab/>
        <w:t xml:space="preserve">          </w:t>
      </w:r>
      <w:r w:rsidRPr="00310F8B">
        <w:rPr>
          <w:rFonts w:ascii="Times New Roman" w:hAnsi="Times New Roman" w:cs="Times New Roman"/>
          <w:b/>
          <w:sz w:val="24"/>
          <w:szCs w:val="24"/>
        </w:rPr>
        <w:t xml:space="preserve"> </w:t>
      </w:r>
      <w:proofErr w:type="spellStart"/>
      <w:r w:rsidRPr="00F135A9">
        <w:rPr>
          <w:rFonts w:ascii="Times New Roman" w:hAnsi="Times New Roman" w:cs="Times New Roman"/>
          <w:b/>
          <w:sz w:val="24"/>
          <w:szCs w:val="24"/>
        </w:rPr>
        <w:t>Content</w:t>
      </w:r>
      <w:proofErr w:type="spellEnd"/>
    </w:p>
    <w:p w14:paraId="799A1A86" w14:textId="77777777" w:rsidR="00BB1475" w:rsidRPr="00310F8B" w:rsidRDefault="00BB1475" w:rsidP="00F21C84">
      <w:pPr>
        <w:tabs>
          <w:tab w:val="left" w:pos="567"/>
        </w:tabs>
        <w:spacing w:after="0"/>
        <w:rPr>
          <w:rFonts w:ascii="Times New Roman" w:hAnsi="Times New Roman" w:cs="Times New Roman"/>
          <w:sz w:val="24"/>
          <w:szCs w:val="24"/>
        </w:rPr>
      </w:pPr>
    </w:p>
    <w:p w14:paraId="1B79DC4B" w14:textId="5FEF2534" w:rsidR="00894305" w:rsidRPr="00AC3D24" w:rsidRDefault="009A02B6" w:rsidP="00AC3D24">
      <w:pPr>
        <w:rPr>
          <w:rFonts w:ascii="Times New Roman" w:hAnsi="Times New Roman" w:cs="Times New Roman"/>
          <w:sz w:val="24"/>
          <w:szCs w:val="24"/>
        </w:rPr>
      </w:pPr>
      <w:r w:rsidRPr="004D3FE8">
        <w:rPr>
          <w:rFonts w:ascii="Times New Roman" w:hAnsi="Times New Roman" w:cs="Times New Roman"/>
          <w:sz w:val="24"/>
          <w:szCs w:val="24"/>
        </w:rPr>
        <w:t xml:space="preserve">Report on </w:t>
      </w:r>
      <w:proofErr w:type="spellStart"/>
      <w:r w:rsidRPr="004D3FE8">
        <w:rPr>
          <w:rFonts w:ascii="Times New Roman" w:hAnsi="Times New Roman" w:cs="Times New Roman"/>
          <w:sz w:val="24"/>
          <w:szCs w:val="24"/>
        </w:rPr>
        <w:t>the</w:t>
      </w:r>
      <w:proofErr w:type="spellEnd"/>
      <w:r w:rsidRPr="004D3FE8">
        <w:rPr>
          <w:rFonts w:ascii="Times New Roman" w:hAnsi="Times New Roman" w:cs="Times New Roman"/>
          <w:sz w:val="24"/>
          <w:szCs w:val="24"/>
        </w:rPr>
        <w:t xml:space="preserve"> </w:t>
      </w:r>
      <w:proofErr w:type="spellStart"/>
      <w:r w:rsidRPr="004D3FE8">
        <w:rPr>
          <w:rFonts w:ascii="Times New Roman" w:hAnsi="Times New Roman" w:cs="Times New Roman"/>
          <w:sz w:val="24"/>
          <w:szCs w:val="24"/>
        </w:rPr>
        <w:t>outcomes</w:t>
      </w:r>
      <w:proofErr w:type="spellEnd"/>
      <w:r w:rsidRPr="004D3FE8">
        <w:rPr>
          <w:rFonts w:ascii="Times New Roman" w:hAnsi="Times New Roman" w:cs="Times New Roman"/>
          <w:sz w:val="24"/>
          <w:szCs w:val="24"/>
        </w:rPr>
        <w:t xml:space="preserve"> </w:t>
      </w:r>
      <w:proofErr w:type="spellStart"/>
      <w:r w:rsidRPr="004D3FE8">
        <w:rPr>
          <w:rFonts w:ascii="Times New Roman" w:hAnsi="Times New Roman" w:cs="Times New Roman"/>
          <w:sz w:val="24"/>
          <w:szCs w:val="24"/>
        </w:rPr>
        <w:t>of</w:t>
      </w:r>
      <w:proofErr w:type="spellEnd"/>
      <w:r w:rsidRPr="004D3FE8">
        <w:rPr>
          <w:rFonts w:ascii="Times New Roman" w:hAnsi="Times New Roman" w:cs="Times New Roman"/>
          <w:sz w:val="24"/>
          <w:szCs w:val="24"/>
        </w:rPr>
        <w:t xml:space="preserve"> monitoring </w:t>
      </w:r>
      <w:proofErr w:type="spellStart"/>
      <w:r w:rsidRPr="004D3FE8">
        <w:rPr>
          <w:rFonts w:ascii="Times New Roman" w:hAnsi="Times New Roman" w:cs="Times New Roman"/>
          <w:sz w:val="24"/>
          <w:szCs w:val="24"/>
        </w:rPr>
        <w:t>of</w:t>
      </w:r>
      <w:proofErr w:type="spellEnd"/>
      <w:r w:rsidRPr="004D3FE8">
        <w:rPr>
          <w:rFonts w:ascii="Times New Roman" w:hAnsi="Times New Roman" w:cs="Times New Roman"/>
          <w:sz w:val="24"/>
          <w:szCs w:val="24"/>
        </w:rPr>
        <w:t xml:space="preserve"> </w:t>
      </w:r>
      <w:proofErr w:type="spellStart"/>
      <w:r w:rsidRPr="004D3FE8">
        <w:rPr>
          <w:rFonts w:ascii="Times New Roman" w:hAnsi="Times New Roman" w:cs="Times New Roman"/>
          <w:sz w:val="24"/>
          <w:szCs w:val="24"/>
        </w:rPr>
        <w:t>security</w:t>
      </w:r>
      <w:proofErr w:type="spellEnd"/>
      <w:r w:rsidRPr="004D3FE8">
        <w:rPr>
          <w:rFonts w:ascii="Times New Roman" w:hAnsi="Times New Roman" w:cs="Times New Roman"/>
          <w:sz w:val="24"/>
          <w:szCs w:val="24"/>
        </w:rPr>
        <w:t xml:space="preserve"> </w:t>
      </w:r>
      <w:proofErr w:type="spellStart"/>
      <w:r w:rsidRPr="004D3FE8">
        <w:rPr>
          <w:rFonts w:ascii="Times New Roman" w:hAnsi="Times New Roman" w:cs="Times New Roman"/>
          <w:sz w:val="24"/>
          <w:szCs w:val="24"/>
        </w:rPr>
        <w:t>of</w:t>
      </w:r>
      <w:proofErr w:type="spellEnd"/>
      <w:r w:rsidRPr="004D3FE8">
        <w:rPr>
          <w:rFonts w:ascii="Times New Roman" w:hAnsi="Times New Roman" w:cs="Times New Roman"/>
          <w:sz w:val="24"/>
          <w:szCs w:val="24"/>
        </w:rPr>
        <w:t xml:space="preserve"> </w:t>
      </w:r>
      <w:proofErr w:type="spellStart"/>
      <w:r w:rsidRPr="004D3FE8">
        <w:rPr>
          <w:rFonts w:ascii="Times New Roman" w:hAnsi="Times New Roman" w:cs="Times New Roman"/>
          <w:sz w:val="24"/>
          <w:szCs w:val="24"/>
        </w:rPr>
        <w:t>electricity</w:t>
      </w:r>
      <w:proofErr w:type="spellEnd"/>
      <w:r w:rsidRPr="004D3FE8">
        <w:rPr>
          <w:rFonts w:ascii="Times New Roman" w:hAnsi="Times New Roman" w:cs="Times New Roman"/>
          <w:sz w:val="24"/>
          <w:szCs w:val="24"/>
        </w:rPr>
        <w:t xml:space="preserve"> </w:t>
      </w:r>
      <w:proofErr w:type="spellStart"/>
      <w:r w:rsidRPr="004D3FE8">
        <w:rPr>
          <w:rFonts w:ascii="Times New Roman" w:hAnsi="Times New Roman" w:cs="Times New Roman"/>
          <w:sz w:val="24"/>
          <w:szCs w:val="24"/>
        </w:rPr>
        <w:t>supply</w:t>
      </w:r>
      <w:proofErr w:type="spellEnd"/>
      <w:r w:rsidRPr="004D3FE8">
        <w:rPr>
          <w:rFonts w:ascii="Times New Roman" w:hAnsi="Times New Roman" w:cs="Times New Roman"/>
          <w:sz w:val="24"/>
          <w:szCs w:val="24"/>
        </w:rPr>
        <w:t xml:space="preserve"> </w:t>
      </w:r>
      <w:proofErr w:type="spellStart"/>
      <w:r w:rsidRPr="004D3FE8">
        <w:rPr>
          <w:rFonts w:ascii="Times New Roman" w:hAnsi="Times New Roman" w:cs="Times New Roman"/>
          <w:sz w:val="24"/>
          <w:szCs w:val="24"/>
        </w:rPr>
        <w:t>for</w:t>
      </w:r>
      <w:proofErr w:type="spellEnd"/>
      <w:r w:rsidRPr="004D3FE8">
        <w:rPr>
          <w:rFonts w:ascii="Times New Roman" w:hAnsi="Times New Roman" w:cs="Times New Roman"/>
          <w:sz w:val="24"/>
          <w:szCs w:val="24"/>
        </w:rPr>
        <w:t xml:space="preserve"> 2019</w:t>
      </w:r>
      <w:r w:rsidR="000E0DCB" w:rsidRPr="002B54D7">
        <w:rPr>
          <w:rFonts w:ascii="Times New Roman" w:hAnsi="Times New Roman" w:cs="Times New Roman"/>
        </w:rPr>
        <w:t>....</w:t>
      </w:r>
      <w:r w:rsidR="00F21C84" w:rsidRPr="002B54D7">
        <w:rPr>
          <w:rFonts w:ascii="Times New Roman" w:hAnsi="Times New Roman" w:cs="Times New Roman"/>
        </w:rPr>
        <w:t>.......</w:t>
      </w:r>
      <w:r w:rsidR="005727CC" w:rsidRPr="002B54D7">
        <w:rPr>
          <w:rFonts w:ascii="Times New Roman" w:hAnsi="Times New Roman" w:cs="Times New Roman"/>
        </w:rPr>
        <w:t>.</w:t>
      </w:r>
      <w:r w:rsidR="00F21C84" w:rsidRPr="002B54D7">
        <w:rPr>
          <w:rFonts w:ascii="Times New Roman" w:hAnsi="Times New Roman" w:cs="Times New Roman"/>
        </w:rPr>
        <w:t>.............</w:t>
      </w:r>
      <w:r w:rsidR="002B54D7">
        <w:rPr>
          <w:rFonts w:ascii="Times New Roman" w:hAnsi="Times New Roman" w:cs="Times New Roman"/>
        </w:rPr>
        <w:t>.....</w:t>
      </w:r>
      <w:r w:rsidR="00F21C84" w:rsidRPr="002B54D7">
        <w:rPr>
          <w:rFonts w:ascii="Times New Roman" w:hAnsi="Times New Roman" w:cs="Times New Roman"/>
        </w:rPr>
        <w:t>....</w:t>
      </w:r>
      <w:r w:rsidR="00F21C84" w:rsidRPr="00310F8B">
        <w:rPr>
          <w:rFonts w:ascii="Times New Roman" w:hAnsi="Times New Roman" w:cs="Times New Roman"/>
          <w:sz w:val="24"/>
          <w:szCs w:val="24"/>
        </w:rPr>
        <w:t>3</w:t>
      </w:r>
      <w:r w:rsidR="005727CC" w:rsidRPr="00310F8B">
        <w:rPr>
          <w:rFonts w:ascii="Times New Roman" w:hAnsi="Times New Roman" w:cs="Times New Roman"/>
          <w:sz w:val="24"/>
          <w:szCs w:val="24"/>
        </w:rPr>
        <w:br/>
      </w:r>
      <w:r w:rsidR="00F21C84" w:rsidRPr="00310F8B">
        <w:rPr>
          <w:rFonts w:ascii="Times New Roman" w:hAnsi="Times New Roman" w:cs="Times New Roman"/>
          <w:sz w:val="24"/>
          <w:szCs w:val="24"/>
        </w:rPr>
        <w:t xml:space="preserve">                             </w:t>
      </w:r>
      <w:r w:rsidR="0043720D" w:rsidRPr="00310F8B">
        <w:rPr>
          <w:rFonts w:ascii="Times New Roman" w:hAnsi="Times New Roman" w:cs="Times New Roman"/>
          <w:sz w:val="24"/>
          <w:szCs w:val="24"/>
        </w:rPr>
        <w:t xml:space="preserve">             </w:t>
      </w:r>
      <w:r w:rsidR="0043720D" w:rsidRPr="00310F8B">
        <w:rPr>
          <w:rFonts w:ascii="Times New Roman" w:hAnsi="Times New Roman" w:cs="Times New Roman"/>
          <w:sz w:val="24"/>
          <w:szCs w:val="24"/>
        </w:rPr>
        <w:br/>
      </w:r>
      <w:r w:rsidR="00AC3D24" w:rsidRPr="004D3FE8">
        <w:rPr>
          <w:rFonts w:ascii="Times New Roman" w:hAnsi="Times New Roman" w:cs="Times New Roman"/>
          <w:sz w:val="24"/>
          <w:szCs w:val="24"/>
        </w:rPr>
        <w:t xml:space="preserve">Report on </w:t>
      </w:r>
      <w:proofErr w:type="spellStart"/>
      <w:r w:rsidR="00AC3D24" w:rsidRPr="004D3FE8">
        <w:rPr>
          <w:rFonts w:ascii="Times New Roman" w:hAnsi="Times New Roman" w:cs="Times New Roman"/>
          <w:sz w:val="24"/>
          <w:szCs w:val="24"/>
        </w:rPr>
        <w:t>the</w:t>
      </w:r>
      <w:proofErr w:type="spellEnd"/>
      <w:r w:rsidR="00AC3D24" w:rsidRPr="004D3FE8">
        <w:rPr>
          <w:rFonts w:ascii="Times New Roman" w:hAnsi="Times New Roman" w:cs="Times New Roman"/>
          <w:sz w:val="24"/>
          <w:szCs w:val="24"/>
        </w:rPr>
        <w:t xml:space="preserve"> </w:t>
      </w:r>
      <w:proofErr w:type="spellStart"/>
      <w:r w:rsidR="00AC3D24" w:rsidRPr="004D3FE8">
        <w:rPr>
          <w:rFonts w:ascii="Times New Roman" w:hAnsi="Times New Roman" w:cs="Times New Roman"/>
          <w:sz w:val="24"/>
          <w:szCs w:val="24"/>
        </w:rPr>
        <w:t>outcomes</w:t>
      </w:r>
      <w:proofErr w:type="spellEnd"/>
      <w:r w:rsidR="00AC3D24" w:rsidRPr="004D3FE8">
        <w:rPr>
          <w:rFonts w:ascii="Times New Roman" w:hAnsi="Times New Roman" w:cs="Times New Roman"/>
          <w:sz w:val="24"/>
          <w:szCs w:val="24"/>
        </w:rPr>
        <w:t xml:space="preserve"> </w:t>
      </w:r>
      <w:proofErr w:type="spellStart"/>
      <w:r w:rsidR="00AC3D24" w:rsidRPr="004D3FE8">
        <w:rPr>
          <w:rFonts w:ascii="Times New Roman" w:hAnsi="Times New Roman" w:cs="Times New Roman"/>
          <w:sz w:val="24"/>
          <w:szCs w:val="24"/>
        </w:rPr>
        <w:t>of</w:t>
      </w:r>
      <w:proofErr w:type="spellEnd"/>
      <w:r w:rsidR="00AC3D24" w:rsidRPr="004D3FE8">
        <w:rPr>
          <w:rFonts w:ascii="Times New Roman" w:hAnsi="Times New Roman" w:cs="Times New Roman"/>
          <w:sz w:val="24"/>
          <w:szCs w:val="24"/>
        </w:rPr>
        <w:t xml:space="preserve"> monitoring </w:t>
      </w:r>
      <w:proofErr w:type="spellStart"/>
      <w:r w:rsidR="00AC3D24" w:rsidRPr="004D3FE8">
        <w:rPr>
          <w:rFonts w:ascii="Times New Roman" w:hAnsi="Times New Roman" w:cs="Times New Roman"/>
          <w:sz w:val="24"/>
          <w:szCs w:val="24"/>
        </w:rPr>
        <w:t>of</w:t>
      </w:r>
      <w:proofErr w:type="spellEnd"/>
      <w:r w:rsidR="00AC3D24" w:rsidRPr="004D3FE8">
        <w:rPr>
          <w:rFonts w:ascii="Times New Roman" w:hAnsi="Times New Roman" w:cs="Times New Roman"/>
          <w:sz w:val="24"/>
          <w:szCs w:val="24"/>
        </w:rPr>
        <w:t xml:space="preserve"> </w:t>
      </w:r>
      <w:proofErr w:type="spellStart"/>
      <w:r w:rsidR="00AC3D24" w:rsidRPr="004D3FE8">
        <w:rPr>
          <w:rFonts w:ascii="Times New Roman" w:hAnsi="Times New Roman" w:cs="Times New Roman"/>
          <w:sz w:val="24"/>
          <w:szCs w:val="24"/>
        </w:rPr>
        <w:t>security</w:t>
      </w:r>
      <w:proofErr w:type="spellEnd"/>
      <w:r w:rsidR="00AC3D24" w:rsidRPr="004D3FE8">
        <w:rPr>
          <w:rFonts w:ascii="Times New Roman" w:hAnsi="Times New Roman" w:cs="Times New Roman"/>
          <w:sz w:val="24"/>
          <w:szCs w:val="24"/>
        </w:rPr>
        <w:t xml:space="preserve"> </w:t>
      </w:r>
      <w:proofErr w:type="spellStart"/>
      <w:r w:rsidR="00AC3D24" w:rsidRPr="004D3FE8">
        <w:rPr>
          <w:rFonts w:ascii="Times New Roman" w:hAnsi="Times New Roman" w:cs="Times New Roman"/>
          <w:sz w:val="24"/>
          <w:szCs w:val="24"/>
        </w:rPr>
        <w:t>of</w:t>
      </w:r>
      <w:proofErr w:type="spellEnd"/>
      <w:r w:rsidR="00AC3D24" w:rsidRPr="004D3FE8">
        <w:rPr>
          <w:rFonts w:ascii="Times New Roman" w:hAnsi="Times New Roman" w:cs="Times New Roman"/>
          <w:sz w:val="24"/>
          <w:szCs w:val="24"/>
        </w:rPr>
        <w:t xml:space="preserve"> </w:t>
      </w:r>
      <w:proofErr w:type="spellStart"/>
      <w:r w:rsidR="00AC3D24" w:rsidRPr="004D3FE8">
        <w:rPr>
          <w:rFonts w:ascii="Times New Roman" w:hAnsi="Times New Roman" w:cs="Times New Roman"/>
          <w:sz w:val="24"/>
          <w:szCs w:val="24"/>
        </w:rPr>
        <w:t>gas</w:t>
      </w:r>
      <w:proofErr w:type="spellEnd"/>
      <w:r w:rsidR="00AC3D24" w:rsidRPr="004D3FE8">
        <w:rPr>
          <w:rFonts w:ascii="Times New Roman" w:hAnsi="Times New Roman" w:cs="Times New Roman"/>
          <w:sz w:val="24"/>
          <w:szCs w:val="24"/>
        </w:rPr>
        <w:t xml:space="preserve"> supply</w:t>
      </w:r>
      <w:r w:rsidR="00AC3D24">
        <w:rPr>
          <w:rFonts w:ascii="Times New Roman" w:hAnsi="Times New Roman" w:cs="Times New Roman"/>
          <w:sz w:val="24"/>
          <w:szCs w:val="24"/>
        </w:rPr>
        <w:t>..........</w:t>
      </w:r>
      <w:r w:rsidR="00310F8B" w:rsidRPr="00310F8B">
        <w:rPr>
          <w:rFonts w:ascii="Times New Roman" w:hAnsi="Times New Roman" w:cs="Times New Roman"/>
        </w:rPr>
        <w:t>....................................</w:t>
      </w:r>
      <w:r w:rsidR="00310F8B">
        <w:rPr>
          <w:rFonts w:ascii="Times New Roman" w:hAnsi="Times New Roman" w:cs="Times New Roman"/>
        </w:rPr>
        <w:t>........</w:t>
      </w:r>
      <w:r w:rsidR="00310F8B" w:rsidRPr="00310F8B">
        <w:rPr>
          <w:rFonts w:ascii="Times New Roman" w:hAnsi="Times New Roman" w:cs="Times New Roman"/>
        </w:rPr>
        <w:t>.....</w:t>
      </w:r>
      <w:r w:rsidR="002B54D7">
        <w:rPr>
          <w:rFonts w:ascii="Times New Roman" w:hAnsi="Times New Roman" w:cs="Times New Roman"/>
        </w:rPr>
        <w:t>4</w:t>
      </w:r>
      <w:r w:rsidR="00F27DBD">
        <w:rPr>
          <w:rFonts w:ascii="Times New Roman" w:hAnsi="Times New Roman" w:cs="Times New Roman"/>
        </w:rPr>
        <w:t>6</w:t>
      </w:r>
      <w:r w:rsidR="00571871" w:rsidRPr="00310F8B">
        <w:rPr>
          <w:rFonts w:ascii="Times New Roman" w:hAnsi="Times New Roman" w:cs="Times New Roman"/>
          <w:color w:val="000000" w:themeColor="text1"/>
          <w:sz w:val="24"/>
          <w:szCs w:val="24"/>
        </w:rPr>
        <w:br/>
      </w:r>
      <w:r w:rsidR="00AC3D24">
        <w:rPr>
          <w:rFonts w:ascii="Times New Roman" w:hAnsi="Times New Roman" w:cs="Times New Roman"/>
          <w:sz w:val="24"/>
          <w:szCs w:val="24"/>
        </w:rPr>
        <w:br/>
      </w:r>
      <w:r w:rsidR="009D07FA" w:rsidRPr="00AC3D24">
        <w:rPr>
          <w:rFonts w:ascii="Times New Roman" w:hAnsi="Times New Roman" w:cs="Times New Roman"/>
          <w:sz w:val="24"/>
          <w:szCs w:val="24"/>
        </w:rPr>
        <w:t xml:space="preserve">List </w:t>
      </w:r>
      <w:proofErr w:type="spellStart"/>
      <w:r w:rsidR="009D07FA" w:rsidRPr="00AC3D24">
        <w:rPr>
          <w:rFonts w:ascii="Times New Roman" w:hAnsi="Times New Roman" w:cs="Times New Roman"/>
          <w:sz w:val="24"/>
          <w:szCs w:val="24"/>
        </w:rPr>
        <w:t>of</w:t>
      </w:r>
      <w:proofErr w:type="spellEnd"/>
      <w:r w:rsidR="009D07FA" w:rsidRPr="00AC3D24">
        <w:rPr>
          <w:rFonts w:ascii="Times New Roman" w:hAnsi="Times New Roman" w:cs="Times New Roman"/>
          <w:sz w:val="24"/>
          <w:szCs w:val="24"/>
        </w:rPr>
        <w:t xml:space="preserve"> </w:t>
      </w:r>
      <w:proofErr w:type="spellStart"/>
      <w:r w:rsidR="009D07FA" w:rsidRPr="00AC3D24">
        <w:rPr>
          <w:rFonts w:ascii="Times New Roman" w:hAnsi="Times New Roman" w:cs="Times New Roman"/>
          <w:sz w:val="24"/>
          <w:szCs w:val="24"/>
        </w:rPr>
        <w:t>issued</w:t>
      </w:r>
      <w:proofErr w:type="spellEnd"/>
      <w:r w:rsidR="009D07FA" w:rsidRPr="00AC3D24">
        <w:rPr>
          <w:rFonts w:ascii="Times New Roman" w:hAnsi="Times New Roman" w:cs="Times New Roman"/>
          <w:sz w:val="24"/>
          <w:szCs w:val="24"/>
        </w:rPr>
        <w:t xml:space="preserve"> </w:t>
      </w:r>
      <w:proofErr w:type="spellStart"/>
      <w:r w:rsidR="009D07FA" w:rsidRPr="00AC3D24">
        <w:rPr>
          <w:rFonts w:ascii="Times New Roman" w:hAnsi="Times New Roman" w:cs="Times New Roman"/>
          <w:sz w:val="24"/>
          <w:szCs w:val="24"/>
        </w:rPr>
        <w:t>authorisation</w:t>
      </w:r>
      <w:proofErr w:type="spellEnd"/>
      <w:r w:rsidR="009D07FA" w:rsidRPr="00AC3D24">
        <w:rPr>
          <w:rFonts w:ascii="Times New Roman" w:hAnsi="Times New Roman" w:cs="Times New Roman"/>
          <w:sz w:val="24"/>
          <w:szCs w:val="24"/>
        </w:rPr>
        <w:t xml:space="preserve"> </w:t>
      </w:r>
      <w:proofErr w:type="spellStart"/>
      <w:r w:rsidR="009D07FA" w:rsidRPr="00AC3D24">
        <w:rPr>
          <w:rFonts w:ascii="Times New Roman" w:hAnsi="Times New Roman" w:cs="Times New Roman"/>
          <w:sz w:val="24"/>
          <w:szCs w:val="24"/>
        </w:rPr>
        <w:t>for</w:t>
      </w:r>
      <w:proofErr w:type="spellEnd"/>
      <w:r w:rsidR="009D07FA" w:rsidRPr="00AC3D24">
        <w:rPr>
          <w:rFonts w:ascii="Times New Roman" w:hAnsi="Times New Roman" w:cs="Times New Roman"/>
          <w:sz w:val="24"/>
          <w:szCs w:val="24"/>
        </w:rPr>
        <w:t xml:space="preserve"> </w:t>
      </w:r>
      <w:proofErr w:type="spellStart"/>
      <w:r w:rsidR="009D07FA" w:rsidRPr="00AC3D24">
        <w:rPr>
          <w:rFonts w:ascii="Times New Roman" w:hAnsi="Times New Roman" w:cs="Times New Roman"/>
          <w:sz w:val="24"/>
          <w:szCs w:val="24"/>
        </w:rPr>
        <w:t>the</w:t>
      </w:r>
      <w:proofErr w:type="spellEnd"/>
      <w:r w:rsidR="009D07FA" w:rsidRPr="00AC3D24">
        <w:rPr>
          <w:rFonts w:ascii="Times New Roman" w:hAnsi="Times New Roman" w:cs="Times New Roman"/>
          <w:sz w:val="24"/>
          <w:szCs w:val="24"/>
        </w:rPr>
        <w:t xml:space="preserve"> </w:t>
      </w:r>
      <w:proofErr w:type="spellStart"/>
      <w:r w:rsidR="009D07FA" w:rsidRPr="00AC3D24">
        <w:rPr>
          <w:rFonts w:ascii="Times New Roman" w:hAnsi="Times New Roman" w:cs="Times New Roman"/>
          <w:sz w:val="24"/>
          <w:szCs w:val="24"/>
        </w:rPr>
        <w:t>construction</w:t>
      </w:r>
      <w:proofErr w:type="spellEnd"/>
      <w:r w:rsidR="009D07FA" w:rsidRPr="00AC3D24">
        <w:rPr>
          <w:rFonts w:ascii="Times New Roman" w:hAnsi="Times New Roman" w:cs="Times New Roman"/>
          <w:sz w:val="24"/>
          <w:szCs w:val="24"/>
        </w:rPr>
        <w:t xml:space="preserve"> </w:t>
      </w:r>
      <w:proofErr w:type="spellStart"/>
      <w:r w:rsidR="009D07FA" w:rsidRPr="00AC3D24">
        <w:rPr>
          <w:rFonts w:ascii="Times New Roman" w:hAnsi="Times New Roman" w:cs="Times New Roman"/>
          <w:sz w:val="24"/>
          <w:szCs w:val="24"/>
        </w:rPr>
        <w:t>of</w:t>
      </w:r>
      <w:proofErr w:type="spellEnd"/>
      <w:r w:rsidR="009D07FA" w:rsidRPr="00AC3D24">
        <w:rPr>
          <w:rFonts w:ascii="Times New Roman" w:hAnsi="Times New Roman" w:cs="Times New Roman"/>
          <w:sz w:val="24"/>
          <w:szCs w:val="24"/>
        </w:rPr>
        <w:t xml:space="preserve"> </w:t>
      </w:r>
      <w:proofErr w:type="spellStart"/>
      <w:r w:rsidR="009D07FA" w:rsidRPr="00AC3D24">
        <w:rPr>
          <w:rFonts w:ascii="Times New Roman" w:hAnsi="Times New Roman" w:cs="Times New Roman"/>
          <w:sz w:val="24"/>
          <w:szCs w:val="24"/>
        </w:rPr>
        <w:t>the</w:t>
      </w:r>
      <w:proofErr w:type="spellEnd"/>
      <w:r w:rsidR="009D07FA" w:rsidRPr="00AC3D24">
        <w:rPr>
          <w:rFonts w:ascii="Times New Roman" w:hAnsi="Times New Roman" w:cs="Times New Roman"/>
          <w:sz w:val="24"/>
          <w:szCs w:val="24"/>
        </w:rPr>
        <w:t xml:space="preserve"> </w:t>
      </w:r>
      <w:proofErr w:type="spellStart"/>
      <w:r w:rsidR="009D07FA" w:rsidRPr="00AC3D24">
        <w:rPr>
          <w:rFonts w:ascii="Times New Roman" w:hAnsi="Times New Roman" w:cs="Times New Roman"/>
          <w:sz w:val="24"/>
          <w:szCs w:val="24"/>
        </w:rPr>
        <w:t>energy</w:t>
      </w:r>
      <w:proofErr w:type="spellEnd"/>
      <w:r w:rsidR="009D07FA" w:rsidRPr="00AC3D24">
        <w:rPr>
          <w:rFonts w:ascii="Times New Roman" w:hAnsi="Times New Roman" w:cs="Times New Roman"/>
          <w:sz w:val="24"/>
          <w:szCs w:val="24"/>
        </w:rPr>
        <w:t xml:space="preserve"> </w:t>
      </w:r>
      <w:proofErr w:type="spellStart"/>
      <w:r w:rsidR="009D07FA" w:rsidRPr="00AC3D24">
        <w:rPr>
          <w:rFonts w:ascii="Times New Roman" w:hAnsi="Times New Roman" w:cs="Times New Roman"/>
          <w:sz w:val="24"/>
          <w:szCs w:val="24"/>
        </w:rPr>
        <w:t>facilities</w:t>
      </w:r>
      <w:proofErr w:type="spellEnd"/>
      <w:r w:rsidR="009D07FA" w:rsidRPr="00AC3D24">
        <w:rPr>
          <w:rFonts w:ascii="Times New Roman" w:hAnsi="Times New Roman" w:cs="Times New Roman"/>
          <w:sz w:val="24"/>
          <w:szCs w:val="24"/>
        </w:rPr>
        <w:t xml:space="preserve"> in </w:t>
      </w:r>
      <w:r w:rsidR="0043720D" w:rsidRPr="00AC3D24">
        <w:rPr>
          <w:rFonts w:ascii="Times New Roman" w:hAnsi="Times New Roman" w:cs="Times New Roman"/>
          <w:sz w:val="24"/>
          <w:szCs w:val="24"/>
        </w:rPr>
        <w:t>2</w:t>
      </w:r>
      <w:r w:rsidR="009D07FA" w:rsidRPr="00AC3D24">
        <w:rPr>
          <w:rFonts w:ascii="Times New Roman" w:hAnsi="Times New Roman" w:cs="Times New Roman"/>
          <w:sz w:val="24"/>
          <w:szCs w:val="24"/>
        </w:rPr>
        <w:t>0</w:t>
      </w:r>
      <w:r w:rsidR="00BB1475" w:rsidRPr="00AC3D24">
        <w:rPr>
          <w:rFonts w:ascii="Times New Roman" w:hAnsi="Times New Roman" w:cs="Times New Roman"/>
          <w:sz w:val="24"/>
          <w:szCs w:val="24"/>
        </w:rPr>
        <w:t>20</w:t>
      </w:r>
      <w:r w:rsidR="00894305" w:rsidRPr="00AC3D24">
        <w:rPr>
          <w:rFonts w:ascii="Times New Roman" w:hAnsi="Times New Roman" w:cs="Times New Roman"/>
        </w:rPr>
        <w:t>...........</w:t>
      </w:r>
      <w:r w:rsidR="00AC3D24" w:rsidRPr="00AC3D24">
        <w:rPr>
          <w:rFonts w:ascii="Times New Roman" w:hAnsi="Times New Roman" w:cs="Times New Roman"/>
        </w:rPr>
        <w:t>..</w:t>
      </w:r>
      <w:r w:rsidR="00894305" w:rsidRPr="00AC3D24">
        <w:rPr>
          <w:rFonts w:ascii="Times New Roman" w:hAnsi="Times New Roman" w:cs="Times New Roman"/>
        </w:rPr>
        <w:t>...</w:t>
      </w:r>
      <w:r w:rsidR="00D96295" w:rsidRPr="00AC3D24">
        <w:rPr>
          <w:rFonts w:ascii="Times New Roman" w:hAnsi="Times New Roman" w:cs="Times New Roman"/>
        </w:rPr>
        <w:t>..</w:t>
      </w:r>
      <w:r w:rsidR="00AC3D24">
        <w:rPr>
          <w:rFonts w:ascii="Times New Roman" w:hAnsi="Times New Roman" w:cs="Times New Roman"/>
        </w:rPr>
        <w:t>....</w:t>
      </w:r>
      <w:r w:rsidR="00D96295" w:rsidRPr="00AC3D24">
        <w:rPr>
          <w:rFonts w:ascii="Times New Roman" w:hAnsi="Times New Roman" w:cs="Times New Roman"/>
        </w:rPr>
        <w:t>.</w:t>
      </w:r>
      <w:r w:rsidR="005727CC" w:rsidRPr="00AC3D24">
        <w:rPr>
          <w:rFonts w:ascii="Times New Roman" w:hAnsi="Times New Roman" w:cs="Times New Roman"/>
        </w:rPr>
        <w:t>.....</w:t>
      </w:r>
      <w:r w:rsidR="00D96295" w:rsidRPr="00AC3D24">
        <w:rPr>
          <w:rFonts w:ascii="Times New Roman" w:hAnsi="Times New Roman" w:cs="Times New Roman"/>
        </w:rPr>
        <w:t>..</w:t>
      </w:r>
      <w:r w:rsidR="00AC3D24" w:rsidRPr="00AC3D24">
        <w:rPr>
          <w:rFonts w:ascii="Times New Roman" w:hAnsi="Times New Roman" w:cs="Times New Roman"/>
        </w:rPr>
        <w:t>.</w:t>
      </w:r>
      <w:r w:rsidR="00894305" w:rsidRPr="00AC3D24">
        <w:rPr>
          <w:rFonts w:ascii="Times New Roman" w:hAnsi="Times New Roman" w:cs="Times New Roman"/>
        </w:rPr>
        <w:t>..</w:t>
      </w:r>
      <w:r w:rsidR="00F27DBD">
        <w:rPr>
          <w:rFonts w:ascii="Times New Roman" w:hAnsi="Times New Roman" w:cs="Times New Roman"/>
        </w:rPr>
        <w:t>67</w:t>
      </w:r>
    </w:p>
    <w:p w14:paraId="3EF3B6F4" w14:textId="77777777" w:rsidR="00BB1475" w:rsidRPr="00AC3D24" w:rsidRDefault="00BB1475" w:rsidP="005727CC">
      <w:pPr>
        <w:spacing w:after="0"/>
        <w:jc w:val="both"/>
        <w:rPr>
          <w:rFonts w:ascii="Times New Roman" w:hAnsi="Times New Roman" w:cs="Times New Roman"/>
          <w:sz w:val="24"/>
          <w:szCs w:val="24"/>
          <w:lang w:eastAsia="sk-SK"/>
        </w:rPr>
      </w:pPr>
    </w:p>
    <w:p w14:paraId="5E16913C" w14:textId="025CBA7C" w:rsidR="00B27340" w:rsidRPr="00AC3D24" w:rsidRDefault="005727CC" w:rsidP="00A009C3">
      <w:pPr>
        <w:widowControl w:val="0"/>
        <w:autoSpaceDE w:val="0"/>
        <w:autoSpaceDN w:val="0"/>
        <w:adjustRightInd w:val="0"/>
        <w:spacing w:after="0" w:line="240" w:lineRule="auto"/>
        <w:ind w:left="284"/>
        <w:jc w:val="center"/>
        <w:rPr>
          <w:rFonts w:ascii="Times New Roman" w:eastAsia="Times New Roman" w:hAnsi="Times New Roman" w:cs="Times New Roman"/>
          <w:color w:val="000000" w:themeColor="text1"/>
          <w:sz w:val="24"/>
          <w:szCs w:val="24"/>
        </w:rPr>
      </w:pPr>
      <w:r w:rsidRPr="00AC3D24">
        <w:rPr>
          <w:rFonts w:ascii="Times New Roman" w:hAnsi="Times New Roman" w:cs="Times New Roman"/>
          <w:sz w:val="24"/>
          <w:szCs w:val="24"/>
        </w:rPr>
        <w:br/>
      </w:r>
    </w:p>
    <w:p w14:paraId="3A6AE025" w14:textId="77777777" w:rsidR="00B27340" w:rsidRDefault="00B27340">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1D663AD3" w14:textId="77777777" w:rsidR="003A7062" w:rsidRPr="00227178" w:rsidRDefault="003A7062" w:rsidP="003A7062">
      <w:pPr>
        <w:spacing w:after="0"/>
        <w:jc w:val="center"/>
        <w:rPr>
          <w:rFonts w:ascii="Times New Roman" w:hAnsi="Times New Roman" w:cs="Times New Roman"/>
          <w:b/>
          <w:sz w:val="30"/>
          <w:szCs w:val="30"/>
        </w:rPr>
      </w:pPr>
      <w:bookmarkStart w:id="0" w:name="_Toc20482734"/>
      <w:bookmarkStart w:id="1" w:name="_Toc46594159"/>
      <w:r w:rsidRPr="00227178">
        <w:rPr>
          <w:rFonts w:ascii="Times New Roman" w:hAnsi="Times New Roman" w:cs="Times New Roman"/>
          <w:b/>
          <w:sz w:val="30"/>
          <w:szCs w:val="30"/>
        </w:rPr>
        <w:lastRenderedPageBreak/>
        <w:t>Spr</w:t>
      </w:r>
      <w:bookmarkStart w:id="2" w:name="_GoBack"/>
      <w:bookmarkEnd w:id="2"/>
      <w:r w:rsidRPr="00227178">
        <w:rPr>
          <w:rFonts w:ascii="Times New Roman" w:hAnsi="Times New Roman" w:cs="Times New Roman"/>
          <w:b/>
          <w:sz w:val="30"/>
          <w:szCs w:val="30"/>
        </w:rPr>
        <w:t xml:space="preserve">áva </w:t>
      </w:r>
    </w:p>
    <w:p w14:paraId="75EB6FD0" w14:textId="2D340285" w:rsidR="003A7062" w:rsidRPr="003A7062" w:rsidRDefault="003A7062" w:rsidP="003A7062">
      <w:pPr>
        <w:jc w:val="center"/>
        <w:rPr>
          <w:rFonts w:cs="Times New Roman"/>
          <w:b/>
          <w:sz w:val="30"/>
          <w:szCs w:val="30"/>
        </w:rPr>
      </w:pPr>
      <w:r w:rsidRPr="00227178">
        <w:rPr>
          <w:rFonts w:ascii="Times New Roman" w:hAnsi="Times New Roman" w:cs="Times New Roman"/>
          <w:b/>
          <w:sz w:val="30"/>
          <w:szCs w:val="30"/>
        </w:rPr>
        <w:t xml:space="preserve">o výsledkoch monitorovania bezpečnosti dodávok elektriny za </w:t>
      </w:r>
      <w:r w:rsidR="008C5CDC">
        <w:rPr>
          <w:rFonts w:ascii="Times New Roman" w:hAnsi="Times New Roman" w:cs="Times New Roman"/>
          <w:b/>
          <w:sz w:val="30"/>
          <w:szCs w:val="30"/>
        </w:rPr>
        <w:t xml:space="preserve">rok </w:t>
      </w:r>
      <w:r w:rsidRPr="00227178">
        <w:rPr>
          <w:rFonts w:ascii="Times New Roman" w:hAnsi="Times New Roman" w:cs="Times New Roman"/>
          <w:b/>
          <w:sz w:val="30"/>
          <w:szCs w:val="30"/>
        </w:rPr>
        <w:t>2019</w:t>
      </w:r>
    </w:p>
    <w:p w14:paraId="09BB2A06" w14:textId="77777777" w:rsidR="003A7062" w:rsidRDefault="003A7062" w:rsidP="003A7062">
      <w:pPr>
        <w:rPr>
          <w:rFonts w:cs="Times New Roman"/>
          <w:b/>
          <w:szCs w:val="24"/>
        </w:rPr>
      </w:pPr>
    </w:p>
    <w:p w14:paraId="4C214C49" w14:textId="513F7011" w:rsidR="00B27340" w:rsidRPr="0023564D" w:rsidRDefault="00B27340" w:rsidP="006C3333">
      <w:pPr>
        <w:jc w:val="both"/>
        <w:rPr>
          <w:rFonts w:ascii="Times New Roman" w:hAnsi="Times New Roman" w:cs="Times New Roman"/>
          <w:b/>
          <w:sz w:val="24"/>
          <w:szCs w:val="24"/>
        </w:rPr>
      </w:pPr>
      <w:r w:rsidRPr="0023564D">
        <w:rPr>
          <w:rFonts w:ascii="Times New Roman" w:hAnsi="Times New Roman" w:cs="Times New Roman"/>
          <w:b/>
          <w:sz w:val="24"/>
          <w:szCs w:val="24"/>
        </w:rPr>
        <w:t>Úvod</w:t>
      </w:r>
      <w:bookmarkEnd w:id="0"/>
      <w:bookmarkEnd w:id="1"/>
    </w:p>
    <w:p w14:paraId="34787CB0" w14:textId="77777777" w:rsidR="00B27340" w:rsidRPr="007F573E" w:rsidRDefault="00B27340" w:rsidP="006C3333">
      <w:pPr>
        <w:jc w:val="both"/>
        <w:rPr>
          <w:rFonts w:ascii="Times New Roman" w:hAnsi="Times New Roman" w:cs="Times New Roman"/>
          <w:sz w:val="24"/>
          <w:szCs w:val="24"/>
        </w:rPr>
      </w:pPr>
      <w:r w:rsidRPr="007F573E">
        <w:rPr>
          <w:rFonts w:ascii="Times New Roman" w:hAnsi="Times New Roman" w:cs="Times New Roman"/>
          <w:sz w:val="24"/>
          <w:szCs w:val="24"/>
        </w:rPr>
        <w:t>Správu o výsledkoch monitorovania bezpečnosti dodávky elektriny a o prijatých a predpokladaných opatreniach na riešenie bezpečnosti dodávok elektriny Ministerstvo hospodárstva SR uverejňuje každoročne na základe ustanovenia § 88 ods. 2 písm. j) v rozsahu podľa ods. 10 zákona č. 251/2012 Z. z. o energetike a o zmene a doplnení niektorých zákonov (ďalej „zákon o energetike“). Správu uverejňuje na webovom sídle ministerstva a zasiela Komisii. Ministerstvo pripravuje správu v spolupráci s prevádzkovateľom prenosovej sústavy.</w:t>
      </w:r>
    </w:p>
    <w:p w14:paraId="0D54428F" w14:textId="77777777" w:rsidR="00B27340" w:rsidRPr="007F573E" w:rsidRDefault="00B27340" w:rsidP="006C3333">
      <w:pPr>
        <w:jc w:val="both"/>
        <w:rPr>
          <w:rFonts w:ascii="Times New Roman" w:hAnsi="Times New Roman" w:cs="Times New Roman"/>
          <w:sz w:val="24"/>
          <w:szCs w:val="24"/>
        </w:rPr>
      </w:pPr>
      <w:r w:rsidRPr="007F573E">
        <w:rPr>
          <w:rFonts w:ascii="Times New Roman" w:hAnsi="Times New Roman" w:cs="Times New Roman"/>
          <w:sz w:val="24"/>
          <w:szCs w:val="24"/>
        </w:rPr>
        <w:t>Spoločnosť SEPS, a.s. podľa § 28 ods. 3 písm. k) poskytuje ministerstvu na požiadanie návrhy na riešenie rovnováhy medzi ponukou a dopytom elektriny na obdobie piatich rokov a perspektívu zabezpečenia dodávok elektriny na obdobie piatich až pätnástich rokov na účely vypracovania Správy o výsledkoch monitorovania bezpečnosti dodávok elektriny podľa § 88 ods. 2 písm. j) zákona o energetike.</w:t>
      </w:r>
    </w:p>
    <w:p w14:paraId="748A1A86" w14:textId="77777777" w:rsidR="00B27340" w:rsidRPr="007F573E" w:rsidRDefault="00B27340" w:rsidP="006C3333">
      <w:pPr>
        <w:jc w:val="both"/>
        <w:rPr>
          <w:rFonts w:ascii="Times New Roman" w:hAnsi="Times New Roman" w:cs="Times New Roman"/>
          <w:sz w:val="24"/>
          <w:szCs w:val="24"/>
        </w:rPr>
      </w:pPr>
      <w:r w:rsidRPr="007F573E">
        <w:rPr>
          <w:rFonts w:ascii="Times New Roman" w:hAnsi="Times New Roman" w:cs="Times New Roman"/>
          <w:sz w:val="24"/>
          <w:szCs w:val="24"/>
        </w:rPr>
        <w:t>Správa je vypracovaná v súlade so štruktúrou podľa článku 4 smernice Európskeho parlamentu a rady č. 2009/72/ES o spoločných pravidlách pre vnútorný trh s elektrinou a podľa článku 7 smernice Európskeho parlamentu a rady 2005/89/ES o opatreniach na zabezpečenie bezpečnosti dodávok elektrickej energie a investícií do infraštruktúry.</w:t>
      </w:r>
    </w:p>
    <w:p w14:paraId="712877D2" w14:textId="77777777" w:rsidR="00B27340" w:rsidRPr="007F573E" w:rsidRDefault="00B27340" w:rsidP="006C3333">
      <w:pPr>
        <w:jc w:val="both"/>
        <w:rPr>
          <w:rFonts w:ascii="Times New Roman" w:hAnsi="Times New Roman" w:cs="Times New Roman"/>
          <w:sz w:val="24"/>
          <w:szCs w:val="24"/>
        </w:rPr>
      </w:pPr>
      <w:r w:rsidRPr="007F573E">
        <w:rPr>
          <w:rFonts w:ascii="Times New Roman" w:hAnsi="Times New Roman" w:cs="Times New Roman"/>
          <w:sz w:val="24"/>
          <w:szCs w:val="24"/>
        </w:rPr>
        <w:t>Od 1. januára 2005 je stanovená kompetencia Ministerstva hospodárstva SR vo vzťahu k sledovaniu dodržiavania bezpečnosti dodávok elektriny a uverejneniu správy o výsledkoch monitorovania bezpečnosti dodávok elektriny.</w:t>
      </w:r>
    </w:p>
    <w:p w14:paraId="11902A60" w14:textId="3E663558" w:rsidR="00B27340" w:rsidRPr="007F573E" w:rsidRDefault="00B27340" w:rsidP="005A4650">
      <w:pPr>
        <w:rPr>
          <w:rFonts w:ascii="Times New Roman" w:hAnsi="Times New Roman" w:cs="Times New Roman"/>
          <w:sz w:val="24"/>
          <w:szCs w:val="24"/>
        </w:rPr>
        <w:sectPr w:rsidR="00B27340" w:rsidRPr="007F573E" w:rsidSect="007A5CEA">
          <w:headerReference w:type="default" r:id="rId15"/>
          <w:footerReference w:type="default" r:id="rId16"/>
          <w:pgSz w:w="11906" w:h="16838"/>
          <w:pgMar w:top="1418" w:right="851" w:bottom="1418" w:left="1418" w:header="708" w:footer="708" w:gutter="0"/>
          <w:pgNumType w:start="2"/>
          <w:cols w:space="708"/>
          <w:docGrid w:linePitch="360"/>
        </w:sectPr>
      </w:pPr>
      <w:r w:rsidRPr="007F573E">
        <w:rPr>
          <w:rFonts w:ascii="Times New Roman" w:hAnsi="Times New Roman" w:cs="Times New Roman"/>
          <w:sz w:val="24"/>
          <w:szCs w:val="24"/>
        </w:rPr>
        <w:t>Bezpečnosť</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 xml:space="preserve"> dodávky</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 xml:space="preserve"> elektriny</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 xml:space="preserve"> je </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 xml:space="preserve">zákonom </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o</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energetike</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 xml:space="preserve"> definovaná </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 xml:space="preserve">ako </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schopnosť</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 xml:space="preserve"> sústavy zásobovať </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 xml:space="preserve">koncových </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 xml:space="preserve">odberateľov </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 xml:space="preserve">elektriny, zabezpečenie </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 xml:space="preserve">technickej </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bezpečnosti</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energetických zariadení a rovnováhy ponuky a dopytu elektriny na vymedzenom území Slovenskej</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republiky (SR)</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alebo</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jeho </w:t>
      </w:r>
      <w:r w:rsidR="005A4650">
        <w:rPr>
          <w:rFonts w:ascii="Times New Roman" w:hAnsi="Times New Roman" w:cs="Times New Roman"/>
          <w:sz w:val="24"/>
          <w:szCs w:val="24"/>
        </w:rPr>
        <w:t xml:space="preserve"> </w:t>
      </w:r>
      <w:r w:rsidRPr="007F573E">
        <w:rPr>
          <w:rFonts w:ascii="Times New Roman" w:hAnsi="Times New Roman" w:cs="Times New Roman"/>
          <w:sz w:val="24"/>
          <w:szCs w:val="24"/>
        </w:rPr>
        <w:t>časti.</w:t>
      </w:r>
    </w:p>
    <w:p w14:paraId="62B65521" w14:textId="77777777" w:rsidR="00B27340" w:rsidRPr="0023564D" w:rsidRDefault="00B27340" w:rsidP="0023564D">
      <w:pPr>
        <w:pStyle w:val="Nadpis1"/>
        <w:keepLines/>
        <w:numPr>
          <w:ilvl w:val="0"/>
          <w:numId w:val="12"/>
        </w:numPr>
        <w:spacing w:before="240" w:after="120" w:line="259" w:lineRule="auto"/>
        <w:ind w:left="431" w:hanging="431"/>
        <w:jc w:val="both"/>
        <w:rPr>
          <w:sz w:val="24"/>
          <w:szCs w:val="24"/>
        </w:rPr>
      </w:pPr>
      <w:bookmarkStart w:id="3" w:name="_Toc46594160"/>
      <w:r w:rsidRPr="0023564D">
        <w:rPr>
          <w:sz w:val="24"/>
          <w:szCs w:val="24"/>
        </w:rPr>
        <w:lastRenderedPageBreak/>
        <w:t>Zhodnotenie roku 2019</w:t>
      </w:r>
      <w:bookmarkEnd w:id="3"/>
    </w:p>
    <w:p w14:paraId="07ECABEF" w14:textId="77777777" w:rsidR="00B27340" w:rsidRPr="0023564D" w:rsidRDefault="00B27340" w:rsidP="0023564D">
      <w:pPr>
        <w:jc w:val="both"/>
        <w:rPr>
          <w:rFonts w:ascii="Times New Roman" w:hAnsi="Times New Roman" w:cs="Times New Roman"/>
          <w:sz w:val="24"/>
          <w:szCs w:val="24"/>
        </w:rPr>
      </w:pPr>
      <w:r w:rsidRPr="0023564D">
        <w:rPr>
          <w:rFonts w:ascii="Times New Roman" w:hAnsi="Times New Roman" w:cs="Times New Roman"/>
          <w:sz w:val="24"/>
          <w:szCs w:val="24"/>
        </w:rPr>
        <w:t xml:space="preserve">Hodnotenie prevádzky ES SR v predchádzajúcom roku vychádza z oficiálnych údajov prevádzkovateľa prenosovej sústavy, ktoré sú zverejnené na </w:t>
      </w:r>
      <w:r w:rsidRPr="0023564D">
        <w:rPr>
          <w:rStyle w:val="Hypertextovprepojenie"/>
          <w:rFonts w:ascii="Times New Roman" w:hAnsi="Times New Roman" w:cs="Times New Roman"/>
          <w:iCs/>
          <w:sz w:val="24"/>
          <w:szCs w:val="24"/>
        </w:rPr>
        <w:t>webovom sídle</w:t>
      </w:r>
      <w:r w:rsidRPr="0023564D">
        <w:rPr>
          <w:rFonts w:ascii="Times New Roman" w:hAnsi="Times New Roman" w:cs="Times New Roman"/>
          <w:sz w:val="24"/>
          <w:szCs w:val="24"/>
        </w:rPr>
        <w:t xml:space="preserve"> spoločnosti Slovenská elektrizačná prenosová sústava, a.s.</w:t>
      </w:r>
      <w:r w:rsidRPr="0023564D">
        <w:rPr>
          <w:rStyle w:val="Odkaznapoznmkupodiarou"/>
          <w:rFonts w:ascii="Times New Roman" w:hAnsi="Times New Roman" w:cs="Times New Roman"/>
          <w:iCs/>
          <w:sz w:val="24"/>
          <w:szCs w:val="24"/>
        </w:rPr>
        <w:t xml:space="preserve"> </w:t>
      </w:r>
      <w:r w:rsidRPr="0023564D">
        <w:rPr>
          <w:rStyle w:val="Odkaznapoznmkupodiarou"/>
          <w:rFonts w:ascii="Times New Roman" w:hAnsi="Times New Roman" w:cs="Times New Roman"/>
          <w:iCs/>
          <w:sz w:val="24"/>
          <w:szCs w:val="24"/>
        </w:rPr>
        <w:footnoteReference w:id="1"/>
      </w:r>
    </w:p>
    <w:p w14:paraId="1D8C943E" w14:textId="77777777" w:rsidR="00B27340" w:rsidRPr="00F27DBD" w:rsidRDefault="00B27340" w:rsidP="005F0557">
      <w:pPr>
        <w:pStyle w:val="Nadpis2"/>
        <w:numPr>
          <w:ilvl w:val="1"/>
          <w:numId w:val="12"/>
        </w:numPr>
        <w:spacing w:before="240" w:after="120" w:line="259" w:lineRule="auto"/>
        <w:ind w:left="578" w:hanging="578"/>
        <w:jc w:val="both"/>
        <w:rPr>
          <w:rFonts w:ascii="Times New Roman" w:hAnsi="Times New Roman" w:cs="Times New Roman"/>
          <w:b/>
          <w:color w:val="000000" w:themeColor="text1"/>
          <w:sz w:val="24"/>
          <w:szCs w:val="24"/>
        </w:rPr>
      </w:pPr>
      <w:bookmarkStart w:id="4" w:name="_Toc46594161"/>
      <w:r w:rsidRPr="00F27DBD">
        <w:rPr>
          <w:rFonts w:ascii="Times New Roman" w:hAnsi="Times New Roman" w:cs="Times New Roman"/>
          <w:b/>
          <w:color w:val="000000" w:themeColor="text1"/>
          <w:sz w:val="24"/>
          <w:szCs w:val="24"/>
        </w:rPr>
        <w:t>Bilancia výroby a spotreby elektriny v ES SR</w:t>
      </w:r>
      <w:bookmarkEnd w:id="4"/>
      <w:r w:rsidRPr="00F27DBD">
        <w:rPr>
          <w:rFonts w:ascii="Times New Roman" w:hAnsi="Times New Roman" w:cs="Times New Roman"/>
          <w:b/>
          <w:color w:val="000000" w:themeColor="text1"/>
          <w:sz w:val="24"/>
          <w:szCs w:val="24"/>
        </w:rPr>
        <w:t xml:space="preserve">  </w:t>
      </w:r>
    </w:p>
    <w:p w14:paraId="351FCCA4" w14:textId="77777777" w:rsidR="00B27340" w:rsidRPr="0023564D" w:rsidRDefault="00B27340" w:rsidP="0023564D">
      <w:pPr>
        <w:jc w:val="both"/>
        <w:rPr>
          <w:rFonts w:ascii="Times New Roman" w:hAnsi="Times New Roman" w:cs="Times New Roman"/>
          <w:sz w:val="24"/>
          <w:szCs w:val="24"/>
        </w:rPr>
      </w:pPr>
      <w:r w:rsidRPr="0023564D">
        <w:rPr>
          <w:rFonts w:ascii="Times New Roman" w:hAnsi="Times New Roman" w:cs="Times New Roman"/>
          <w:color w:val="000000" w:themeColor="text1"/>
          <w:sz w:val="24"/>
          <w:szCs w:val="24"/>
        </w:rPr>
        <w:t xml:space="preserve">Celková spotreba elektriny </w:t>
      </w:r>
      <w:r w:rsidRPr="0023564D">
        <w:rPr>
          <w:rFonts w:ascii="Times New Roman" w:hAnsi="Times New Roman" w:cs="Times New Roman"/>
          <w:sz w:val="24"/>
          <w:szCs w:val="24"/>
        </w:rPr>
        <w:t>v roku 2019 dosiahla hodnotu 30 309 </w:t>
      </w:r>
      <w:proofErr w:type="spellStart"/>
      <w:r w:rsidRPr="0023564D">
        <w:rPr>
          <w:rFonts w:ascii="Times New Roman" w:hAnsi="Times New Roman" w:cs="Times New Roman"/>
          <w:sz w:val="24"/>
          <w:szCs w:val="24"/>
        </w:rPr>
        <w:t>GWh</w:t>
      </w:r>
      <w:proofErr w:type="spellEnd"/>
      <w:r w:rsidRPr="0023564D">
        <w:rPr>
          <w:rFonts w:ascii="Times New Roman" w:hAnsi="Times New Roman" w:cs="Times New Roman"/>
          <w:sz w:val="24"/>
          <w:szCs w:val="24"/>
        </w:rPr>
        <w:t>, čo je oproti roku 2018 pokles o 637 </w:t>
      </w:r>
      <w:proofErr w:type="spellStart"/>
      <w:r w:rsidRPr="0023564D">
        <w:rPr>
          <w:rFonts w:ascii="Times New Roman" w:hAnsi="Times New Roman" w:cs="Times New Roman"/>
          <w:sz w:val="24"/>
          <w:szCs w:val="24"/>
        </w:rPr>
        <w:t>GWh</w:t>
      </w:r>
      <w:proofErr w:type="spellEnd"/>
      <w:r w:rsidRPr="0023564D">
        <w:rPr>
          <w:rFonts w:ascii="Times New Roman" w:hAnsi="Times New Roman" w:cs="Times New Roman"/>
          <w:sz w:val="24"/>
          <w:szCs w:val="24"/>
        </w:rPr>
        <w:t xml:space="preserve"> (-2,06 %), aj napriek kladnej hodnote medziročnej zmeny HDP. </w:t>
      </w:r>
    </w:p>
    <w:p w14:paraId="1FFA794F" w14:textId="77777777" w:rsidR="00B27340" w:rsidRPr="0023564D" w:rsidRDefault="00B27340" w:rsidP="0023564D">
      <w:pPr>
        <w:jc w:val="both"/>
        <w:rPr>
          <w:rFonts w:ascii="Times New Roman" w:hAnsi="Times New Roman" w:cs="Times New Roman"/>
          <w:sz w:val="24"/>
          <w:szCs w:val="24"/>
        </w:rPr>
      </w:pPr>
      <w:r w:rsidRPr="0023564D">
        <w:rPr>
          <w:rFonts w:ascii="Times New Roman" w:hAnsi="Times New Roman" w:cs="Times New Roman"/>
          <w:sz w:val="24"/>
          <w:szCs w:val="24"/>
        </w:rPr>
        <w:t>Vo výrobe elektriny bol zaznamenaný nárast o 5,38% (+ 1 460 </w:t>
      </w:r>
      <w:proofErr w:type="spellStart"/>
      <w:r w:rsidRPr="0023564D">
        <w:rPr>
          <w:rFonts w:ascii="Times New Roman" w:hAnsi="Times New Roman" w:cs="Times New Roman"/>
          <w:sz w:val="24"/>
          <w:szCs w:val="24"/>
        </w:rPr>
        <w:t>GWh</w:t>
      </w:r>
      <w:proofErr w:type="spellEnd"/>
      <w:r w:rsidRPr="0023564D">
        <w:rPr>
          <w:rFonts w:ascii="Times New Roman" w:hAnsi="Times New Roman" w:cs="Times New Roman"/>
          <w:sz w:val="24"/>
          <w:szCs w:val="24"/>
        </w:rPr>
        <w:t xml:space="preserve">), pričom zmena pre jednotlivé typy zdrojov v porovnaní s rokom 2018 je nasledovná: </w:t>
      </w:r>
    </w:p>
    <w:p w14:paraId="670C9B59" w14:textId="77777777" w:rsidR="00B27340" w:rsidRPr="0023564D" w:rsidRDefault="00B27340" w:rsidP="0023564D">
      <w:pPr>
        <w:pStyle w:val="Odsekzoznamu"/>
        <w:numPr>
          <w:ilvl w:val="0"/>
          <w:numId w:val="16"/>
        </w:numPr>
        <w:spacing w:after="160" w:line="259" w:lineRule="auto"/>
        <w:jc w:val="both"/>
        <w:rPr>
          <w:rFonts w:ascii="Times New Roman" w:hAnsi="Times New Roman" w:cs="Times New Roman"/>
          <w:sz w:val="24"/>
          <w:szCs w:val="24"/>
        </w:rPr>
      </w:pPr>
      <w:r w:rsidRPr="0023564D">
        <w:rPr>
          <w:rFonts w:ascii="Times New Roman" w:hAnsi="Times New Roman" w:cs="Times New Roman"/>
          <w:sz w:val="24"/>
          <w:szCs w:val="24"/>
        </w:rPr>
        <w:t>jadrové elektrárne (+ 526 </w:t>
      </w:r>
      <w:proofErr w:type="spellStart"/>
      <w:r w:rsidRPr="0023564D">
        <w:rPr>
          <w:rFonts w:ascii="Times New Roman" w:hAnsi="Times New Roman" w:cs="Times New Roman"/>
          <w:sz w:val="24"/>
          <w:szCs w:val="24"/>
        </w:rPr>
        <w:t>GWh</w:t>
      </w:r>
      <w:proofErr w:type="spellEnd"/>
      <w:r w:rsidRPr="0023564D">
        <w:rPr>
          <w:rFonts w:ascii="Times New Roman" w:hAnsi="Times New Roman" w:cs="Times New Roman"/>
          <w:sz w:val="24"/>
          <w:szCs w:val="24"/>
        </w:rPr>
        <w:t>, 3,54%),</w:t>
      </w:r>
    </w:p>
    <w:p w14:paraId="69B08264" w14:textId="77777777" w:rsidR="00B27340" w:rsidRPr="0023564D" w:rsidRDefault="00B27340" w:rsidP="0023564D">
      <w:pPr>
        <w:pStyle w:val="Odsekzoznamu"/>
        <w:numPr>
          <w:ilvl w:val="0"/>
          <w:numId w:val="16"/>
        </w:numPr>
        <w:spacing w:after="160" w:line="259" w:lineRule="auto"/>
        <w:jc w:val="both"/>
        <w:rPr>
          <w:rFonts w:ascii="Times New Roman" w:hAnsi="Times New Roman" w:cs="Times New Roman"/>
          <w:sz w:val="24"/>
          <w:szCs w:val="24"/>
        </w:rPr>
      </w:pPr>
      <w:r w:rsidRPr="0023564D">
        <w:rPr>
          <w:rFonts w:ascii="Times New Roman" w:hAnsi="Times New Roman" w:cs="Times New Roman"/>
          <w:sz w:val="24"/>
          <w:szCs w:val="24"/>
        </w:rPr>
        <w:t>fosílne zdroje (+ 328 </w:t>
      </w:r>
      <w:proofErr w:type="spellStart"/>
      <w:r w:rsidRPr="0023564D">
        <w:rPr>
          <w:rFonts w:ascii="Times New Roman" w:hAnsi="Times New Roman" w:cs="Times New Roman"/>
          <w:sz w:val="24"/>
          <w:szCs w:val="24"/>
        </w:rPr>
        <w:t>GWh</w:t>
      </w:r>
      <w:proofErr w:type="spellEnd"/>
      <w:r w:rsidRPr="0023564D">
        <w:rPr>
          <w:rFonts w:ascii="Times New Roman" w:hAnsi="Times New Roman" w:cs="Times New Roman"/>
          <w:sz w:val="24"/>
          <w:szCs w:val="24"/>
        </w:rPr>
        <w:t>, 5,57%),</w:t>
      </w:r>
    </w:p>
    <w:p w14:paraId="33872719" w14:textId="77777777" w:rsidR="00B27340" w:rsidRPr="0023564D" w:rsidRDefault="00B27340" w:rsidP="0023564D">
      <w:pPr>
        <w:pStyle w:val="Odsekzoznamu"/>
        <w:numPr>
          <w:ilvl w:val="0"/>
          <w:numId w:val="16"/>
        </w:numPr>
        <w:spacing w:after="160" w:line="259" w:lineRule="auto"/>
        <w:jc w:val="both"/>
        <w:rPr>
          <w:rFonts w:ascii="Times New Roman" w:hAnsi="Times New Roman" w:cs="Times New Roman"/>
          <w:sz w:val="24"/>
          <w:szCs w:val="24"/>
        </w:rPr>
      </w:pPr>
      <w:r w:rsidRPr="0023564D">
        <w:rPr>
          <w:rFonts w:ascii="Times New Roman" w:hAnsi="Times New Roman" w:cs="Times New Roman"/>
          <w:sz w:val="24"/>
          <w:szCs w:val="24"/>
        </w:rPr>
        <w:t>vodné elektrárne (+ 693 </w:t>
      </w:r>
      <w:proofErr w:type="spellStart"/>
      <w:r w:rsidRPr="0023564D">
        <w:rPr>
          <w:rFonts w:ascii="Times New Roman" w:hAnsi="Times New Roman" w:cs="Times New Roman"/>
          <w:sz w:val="24"/>
          <w:szCs w:val="24"/>
        </w:rPr>
        <w:t>GWh</w:t>
      </w:r>
      <w:proofErr w:type="spellEnd"/>
      <w:r w:rsidRPr="0023564D">
        <w:rPr>
          <w:rFonts w:ascii="Times New Roman" w:hAnsi="Times New Roman" w:cs="Times New Roman"/>
          <w:sz w:val="24"/>
          <w:szCs w:val="24"/>
        </w:rPr>
        <w:t>, 17,68%),</w:t>
      </w:r>
    </w:p>
    <w:p w14:paraId="62F3ABB8" w14:textId="77777777" w:rsidR="00B27340" w:rsidRPr="0023564D" w:rsidRDefault="00B27340" w:rsidP="0023564D">
      <w:pPr>
        <w:pStyle w:val="Odsekzoznamu"/>
        <w:numPr>
          <w:ilvl w:val="0"/>
          <w:numId w:val="16"/>
        </w:numPr>
        <w:spacing w:after="160" w:line="259" w:lineRule="auto"/>
        <w:jc w:val="both"/>
        <w:rPr>
          <w:rFonts w:ascii="Times New Roman" w:hAnsi="Times New Roman" w:cs="Times New Roman"/>
          <w:sz w:val="24"/>
          <w:szCs w:val="24"/>
        </w:rPr>
      </w:pPr>
      <w:r w:rsidRPr="0023564D">
        <w:rPr>
          <w:rFonts w:ascii="Times New Roman" w:hAnsi="Times New Roman" w:cs="Times New Roman"/>
          <w:sz w:val="24"/>
          <w:szCs w:val="24"/>
        </w:rPr>
        <w:t>obnoviteľné zdroje energie (- 74 </w:t>
      </w:r>
      <w:proofErr w:type="spellStart"/>
      <w:r w:rsidRPr="0023564D">
        <w:rPr>
          <w:rFonts w:ascii="Times New Roman" w:hAnsi="Times New Roman" w:cs="Times New Roman"/>
          <w:sz w:val="24"/>
          <w:szCs w:val="24"/>
        </w:rPr>
        <w:t>GWh</w:t>
      </w:r>
      <w:proofErr w:type="spellEnd"/>
      <w:r w:rsidRPr="0023564D">
        <w:rPr>
          <w:rFonts w:ascii="Times New Roman" w:hAnsi="Times New Roman" w:cs="Times New Roman"/>
          <w:sz w:val="24"/>
          <w:szCs w:val="24"/>
        </w:rPr>
        <w:t>, 3,1%).</w:t>
      </w:r>
    </w:p>
    <w:p w14:paraId="390F902E" w14:textId="77777777" w:rsidR="00B27340" w:rsidRPr="0023564D" w:rsidRDefault="00B27340" w:rsidP="0023564D">
      <w:pPr>
        <w:jc w:val="both"/>
        <w:rPr>
          <w:rFonts w:ascii="Times New Roman" w:hAnsi="Times New Roman" w:cs="Times New Roman"/>
          <w:sz w:val="24"/>
          <w:szCs w:val="24"/>
        </w:rPr>
      </w:pPr>
      <w:r w:rsidRPr="0023564D">
        <w:rPr>
          <w:rFonts w:ascii="Times New Roman" w:hAnsi="Times New Roman" w:cs="Times New Roman"/>
          <w:sz w:val="24"/>
          <w:szCs w:val="24"/>
        </w:rPr>
        <w:t xml:space="preserve">Zvýšenie objemu výroby je odrazom ekonomickej stratégie prevádzkovateľov výrobných zariadení na trhu s elektrickou energiou, technického stavu výrobných zariadení, ako aj pôsobenia klimatických a hydrologických podmienok. </w:t>
      </w:r>
    </w:p>
    <w:p w14:paraId="251B027D" w14:textId="77777777" w:rsidR="00B27340" w:rsidRPr="0023564D" w:rsidRDefault="00B27340" w:rsidP="0023564D">
      <w:pPr>
        <w:jc w:val="both"/>
        <w:rPr>
          <w:rFonts w:ascii="Times New Roman" w:hAnsi="Times New Roman" w:cs="Times New Roman"/>
          <w:sz w:val="24"/>
          <w:szCs w:val="24"/>
        </w:rPr>
      </w:pPr>
      <w:r w:rsidRPr="0023564D">
        <w:rPr>
          <w:rFonts w:ascii="Times New Roman" w:hAnsi="Times New Roman" w:cs="Times New Roman"/>
          <w:sz w:val="24"/>
          <w:szCs w:val="24"/>
        </w:rPr>
        <w:t>Maximálne zaťaženie sústavy bolo zaznamenané 22. januára o 9:00 vo výške 4 571 MW, čo je nárast oproti roku 2018 o 65 MW. Minimum zaťaženia (9. júna o 4:00) dosiahlo hodnotu 2 287 MW.</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B27340" w:rsidRPr="0023564D" w14:paraId="33BB7A2F" w14:textId="77777777" w:rsidTr="00B27340">
        <w:trPr>
          <w:trHeight w:val="4497"/>
        </w:trPr>
        <w:tc>
          <w:tcPr>
            <w:tcW w:w="9072" w:type="dxa"/>
            <w:vAlign w:val="center"/>
          </w:tcPr>
          <w:p w14:paraId="183B3DB8" w14:textId="77777777" w:rsidR="00B27340" w:rsidRPr="0023564D" w:rsidRDefault="00B27340" w:rsidP="00B27340">
            <w:pPr>
              <w:pStyle w:val="Zkladntext3"/>
              <w:rPr>
                <w:rFonts w:ascii="Times New Roman" w:hAnsi="Times New Roman" w:cs="Times New Roman"/>
                <w:iCs/>
                <w:sz w:val="24"/>
                <w:szCs w:val="24"/>
              </w:rPr>
            </w:pPr>
            <w:r w:rsidRPr="0023564D">
              <w:rPr>
                <w:rFonts w:ascii="Times New Roman" w:hAnsi="Times New Roman" w:cs="Times New Roman"/>
                <w:b/>
                <w:iCs/>
                <w:sz w:val="24"/>
                <w:szCs w:val="24"/>
              </w:rPr>
              <w:t xml:space="preserve">Tab. 1.1  </w:t>
            </w:r>
            <w:r w:rsidRPr="0023564D">
              <w:rPr>
                <w:rFonts w:ascii="Times New Roman" w:hAnsi="Times New Roman" w:cs="Times New Roman"/>
                <w:iCs/>
                <w:sz w:val="24"/>
                <w:szCs w:val="24"/>
              </w:rPr>
              <w:t>Výroba, spotreba a zaťaženie ES SR v rokoch 2010 až 2019</w:t>
            </w:r>
            <w:r w:rsidRPr="0023564D">
              <w:rPr>
                <w:rFonts w:ascii="Times New Roman" w:hAnsi="Times New Roman" w:cs="Times New Roman"/>
                <w:iCs/>
                <w:noProof/>
                <w:sz w:val="24"/>
                <w:szCs w:val="24"/>
                <w:lang w:eastAsia="sk-SK"/>
              </w:rPr>
              <w:drawing>
                <wp:inline distT="0" distB="0" distL="0" distR="0" wp14:anchorId="1CD201F9" wp14:editId="3FA27071">
                  <wp:extent cx="4752754" cy="285976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4097" cy="2860568"/>
                          </a:xfrm>
                          <a:prstGeom prst="rect">
                            <a:avLst/>
                          </a:prstGeom>
                          <a:noFill/>
                        </pic:spPr>
                      </pic:pic>
                    </a:graphicData>
                  </a:graphic>
                </wp:inline>
              </w:drawing>
            </w:r>
          </w:p>
        </w:tc>
      </w:tr>
    </w:tbl>
    <w:p w14:paraId="3A4B3BB6" w14:textId="77777777" w:rsidR="00B27340" w:rsidRPr="00C148DF" w:rsidRDefault="00B27340" w:rsidP="0023564D">
      <w:pPr>
        <w:spacing w:before="240"/>
        <w:jc w:val="both"/>
        <w:rPr>
          <w:rFonts w:ascii="Times New Roman" w:hAnsi="Times New Roman" w:cs="Times New Roman"/>
          <w:sz w:val="24"/>
          <w:szCs w:val="24"/>
        </w:rPr>
      </w:pPr>
      <w:r w:rsidRPr="00C148DF">
        <w:rPr>
          <w:rFonts w:ascii="Times New Roman" w:hAnsi="Times New Roman" w:cs="Times New Roman"/>
          <w:sz w:val="24"/>
          <w:szCs w:val="24"/>
        </w:rPr>
        <w:t>Podiel importu na celkovej spotrebe elektriny klesol na hodnotu 5,6 % (1 700 </w:t>
      </w:r>
      <w:proofErr w:type="spellStart"/>
      <w:r w:rsidRPr="00C148DF">
        <w:rPr>
          <w:rFonts w:ascii="Times New Roman" w:hAnsi="Times New Roman" w:cs="Times New Roman"/>
          <w:sz w:val="24"/>
          <w:szCs w:val="24"/>
        </w:rPr>
        <w:t>GWh</w:t>
      </w:r>
      <w:proofErr w:type="spellEnd"/>
      <w:r w:rsidRPr="00C148DF">
        <w:rPr>
          <w:rFonts w:ascii="Times New Roman" w:hAnsi="Times New Roman" w:cs="Times New Roman"/>
          <w:sz w:val="24"/>
          <w:szCs w:val="24"/>
        </w:rPr>
        <w:t xml:space="preserve">). </w:t>
      </w:r>
      <w:r w:rsidRPr="00C148DF" w:rsidDel="00324FCD">
        <w:rPr>
          <w:rFonts w:ascii="Times New Roman" w:hAnsi="Times New Roman" w:cs="Times New Roman"/>
          <w:sz w:val="24"/>
          <w:szCs w:val="24"/>
        </w:rPr>
        <w:t xml:space="preserve">Nerovnováha medzi cenou elektriny na trhu a výrobnými nákladmi zariadení na výrobu elektriny, ktorá sa </w:t>
      </w:r>
      <w:r w:rsidRPr="00C148DF" w:rsidDel="00324FCD">
        <w:rPr>
          <w:rFonts w:ascii="Times New Roman" w:hAnsi="Times New Roman" w:cs="Times New Roman"/>
          <w:sz w:val="24"/>
          <w:szCs w:val="24"/>
        </w:rPr>
        <w:lastRenderedPageBreak/>
        <w:t>premieta do výhodnejšieho nákupu elektriny v zahraničí, zostáv</w:t>
      </w:r>
      <w:r w:rsidRPr="00C148DF">
        <w:rPr>
          <w:rFonts w:ascii="Times New Roman" w:hAnsi="Times New Roman" w:cs="Times New Roman"/>
          <w:sz w:val="24"/>
          <w:szCs w:val="24"/>
        </w:rPr>
        <w:t>a hlavným dôvodom zabezpečenia dodávok elektriny zo zahraničia.</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1"/>
        <w:gridCol w:w="4541"/>
      </w:tblGrid>
      <w:tr w:rsidR="00B27340" w:rsidRPr="00C148DF" w14:paraId="4A7E2B39" w14:textId="77777777" w:rsidTr="00B27340">
        <w:trPr>
          <w:trHeight w:val="1144"/>
        </w:trPr>
        <w:tc>
          <w:tcPr>
            <w:tcW w:w="9072" w:type="dxa"/>
            <w:gridSpan w:val="2"/>
            <w:vAlign w:val="center"/>
          </w:tcPr>
          <w:p w14:paraId="733E7866" w14:textId="77777777" w:rsidR="00B27340" w:rsidRPr="00C148DF" w:rsidRDefault="00B27340" w:rsidP="00B27340">
            <w:pPr>
              <w:pStyle w:val="Zkladntext3"/>
              <w:jc w:val="center"/>
              <w:rPr>
                <w:rFonts w:ascii="Times New Roman" w:hAnsi="Times New Roman" w:cs="Times New Roman"/>
                <w:iCs/>
                <w:sz w:val="24"/>
                <w:szCs w:val="24"/>
              </w:rPr>
            </w:pPr>
            <w:r w:rsidRPr="00C148DF">
              <w:rPr>
                <w:rFonts w:ascii="Times New Roman" w:hAnsi="Times New Roman" w:cs="Times New Roman"/>
                <w:iCs/>
                <w:noProof/>
                <w:sz w:val="24"/>
                <w:szCs w:val="24"/>
                <w:lang w:eastAsia="sk-SK"/>
              </w:rPr>
              <w:drawing>
                <wp:inline distT="0" distB="0" distL="0" distR="0" wp14:anchorId="55C087B9" wp14:editId="5623BAE4">
                  <wp:extent cx="4118775" cy="2682148"/>
                  <wp:effectExtent l="0" t="0" r="0" b="444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9345" cy="2708567"/>
                          </a:xfrm>
                          <a:prstGeom prst="rect">
                            <a:avLst/>
                          </a:prstGeom>
                          <a:noFill/>
                        </pic:spPr>
                      </pic:pic>
                    </a:graphicData>
                  </a:graphic>
                </wp:inline>
              </w:drawing>
            </w:r>
          </w:p>
          <w:p w14:paraId="3E9DE59A" w14:textId="77777777" w:rsidR="00B27340" w:rsidRPr="00C148DF" w:rsidRDefault="00B27340" w:rsidP="00B27340">
            <w:pPr>
              <w:pStyle w:val="Zkladntext3"/>
              <w:ind w:left="369"/>
              <w:jc w:val="center"/>
              <w:rPr>
                <w:rFonts w:ascii="Times New Roman" w:hAnsi="Times New Roman" w:cs="Times New Roman"/>
                <w:iCs/>
                <w:sz w:val="24"/>
                <w:szCs w:val="24"/>
              </w:rPr>
            </w:pPr>
            <w:r w:rsidRPr="00C148DF">
              <w:rPr>
                <w:rFonts w:ascii="Times New Roman" w:hAnsi="Times New Roman" w:cs="Times New Roman"/>
                <w:i/>
                <w:iCs/>
                <w:sz w:val="24"/>
                <w:szCs w:val="24"/>
              </w:rPr>
              <w:t>Poznámka: V roku 2015 došlo k zmene v spôsobe vykazovania výroby elektriny</w:t>
            </w:r>
          </w:p>
        </w:tc>
      </w:tr>
      <w:tr w:rsidR="00B27340" w:rsidRPr="00C148DF" w14:paraId="5634C78A" w14:textId="77777777" w:rsidTr="00B27340">
        <w:trPr>
          <w:trHeight w:val="567"/>
        </w:trPr>
        <w:tc>
          <w:tcPr>
            <w:tcW w:w="9072" w:type="dxa"/>
            <w:gridSpan w:val="2"/>
          </w:tcPr>
          <w:p w14:paraId="654D0139" w14:textId="77777777" w:rsidR="00B27340" w:rsidRPr="00C148DF" w:rsidRDefault="00B27340" w:rsidP="00B27340">
            <w:pPr>
              <w:pStyle w:val="Zkladntext3"/>
              <w:jc w:val="center"/>
              <w:rPr>
                <w:rFonts w:ascii="Times New Roman" w:hAnsi="Times New Roman" w:cs="Times New Roman"/>
                <w:iCs/>
                <w:sz w:val="24"/>
                <w:szCs w:val="24"/>
              </w:rPr>
            </w:pPr>
            <w:r w:rsidRPr="00C148DF">
              <w:rPr>
                <w:rFonts w:ascii="Times New Roman" w:hAnsi="Times New Roman" w:cs="Times New Roman"/>
                <w:b/>
                <w:iCs/>
                <w:sz w:val="24"/>
                <w:szCs w:val="24"/>
              </w:rPr>
              <w:t xml:space="preserve">Obr. 1.1  </w:t>
            </w:r>
            <w:r w:rsidRPr="00C148DF">
              <w:rPr>
                <w:rFonts w:ascii="Times New Roman" w:hAnsi="Times New Roman" w:cs="Times New Roman"/>
                <w:iCs/>
                <w:sz w:val="24"/>
                <w:szCs w:val="24"/>
              </w:rPr>
              <w:t>Bilancia celkovej výroby a spotreby elektriny SR za roky 2010 – 2019</w:t>
            </w:r>
          </w:p>
        </w:tc>
      </w:tr>
      <w:tr w:rsidR="00B27340" w:rsidRPr="00C148DF" w14:paraId="5AA7738E" w14:textId="77777777" w:rsidTr="00B27340">
        <w:tblPrEx>
          <w:tblCellMar>
            <w:left w:w="108" w:type="dxa"/>
            <w:right w:w="108" w:type="dxa"/>
          </w:tblCellMar>
        </w:tblPrEx>
        <w:trPr>
          <w:trHeight w:val="3480"/>
        </w:trPr>
        <w:tc>
          <w:tcPr>
            <w:tcW w:w="4531" w:type="dxa"/>
            <w:vAlign w:val="center"/>
          </w:tcPr>
          <w:p w14:paraId="41D7DF2F" w14:textId="77777777" w:rsidR="00B27340" w:rsidRPr="00C148DF" w:rsidRDefault="00B27340" w:rsidP="00B27340">
            <w:pPr>
              <w:pStyle w:val="Zkladntext3"/>
              <w:jc w:val="center"/>
              <w:rPr>
                <w:rFonts w:ascii="Times New Roman" w:hAnsi="Times New Roman" w:cs="Times New Roman"/>
                <w:iCs/>
                <w:sz w:val="24"/>
                <w:szCs w:val="24"/>
              </w:rPr>
            </w:pPr>
            <w:r w:rsidRPr="00C148DF">
              <w:rPr>
                <w:rFonts w:ascii="Times New Roman" w:hAnsi="Times New Roman" w:cs="Times New Roman"/>
                <w:iCs/>
                <w:noProof/>
                <w:sz w:val="24"/>
                <w:szCs w:val="24"/>
                <w:lang w:eastAsia="sk-SK"/>
              </w:rPr>
              <w:drawing>
                <wp:inline distT="0" distB="0" distL="0" distR="0" wp14:anchorId="33C5B23E" wp14:editId="4253C034">
                  <wp:extent cx="2454161" cy="1945758"/>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5737" b="19262"/>
                          <a:stretch/>
                        </pic:blipFill>
                        <pic:spPr bwMode="auto">
                          <a:xfrm>
                            <a:off x="0" y="0"/>
                            <a:ext cx="2456815" cy="19478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1" w:type="dxa"/>
            <w:vAlign w:val="center"/>
          </w:tcPr>
          <w:p w14:paraId="1199F70D" w14:textId="77777777" w:rsidR="00B27340" w:rsidRPr="00C148DF" w:rsidRDefault="00B27340" w:rsidP="00B27340">
            <w:pPr>
              <w:pStyle w:val="Zkladntext3"/>
              <w:jc w:val="center"/>
              <w:rPr>
                <w:rFonts w:ascii="Times New Roman" w:hAnsi="Times New Roman" w:cs="Times New Roman"/>
                <w:iCs/>
                <w:sz w:val="24"/>
                <w:szCs w:val="24"/>
              </w:rPr>
            </w:pPr>
            <w:r w:rsidRPr="00C148DF">
              <w:rPr>
                <w:rFonts w:ascii="Times New Roman" w:hAnsi="Times New Roman" w:cs="Times New Roman"/>
                <w:iCs/>
                <w:noProof/>
                <w:sz w:val="24"/>
                <w:szCs w:val="24"/>
                <w:lang w:eastAsia="sk-SK"/>
              </w:rPr>
              <w:drawing>
                <wp:inline distT="0" distB="0" distL="0" distR="0" wp14:anchorId="22014FE7" wp14:editId="27630F8F">
                  <wp:extent cx="2466536" cy="1903228"/>
                  <wp:effectExtent l="0" t="0" r="0" b="190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t="4917" b="21722"/>
                          <a:stretch/>
                        </pic:blipFill>
                        <pic:spPr bwMode="auto">
                          <a:xfrm>
                            <a:off x="0" y="0"/>
                            <a:ext cx="2463165" cy="19006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7340" w:rsidRPr="00C148DF" w14:paraId="0873BB47" w14:textId="77777777" w:rsidTr="00B27340">
        <w:tblPrEx>
          <w:tblCellMar>
            <w:left w:w="108" w:type="dxa"/>
            <w:right w:w="108" w:type="dxa"/>
          </w:tblCellMar>
        </w:tblPrEx>
        <w:tc>
          <w:tcPr>
            <w:tcW w:w="4531" w:type="dxa"/>
            <w:vAlign w:val="center"/>
          </w:tcPr>
          <w:p w14:paraId="6508F383" w14:textId="77777777" w:rsidR="00B27340" w:rsidRPr="00C148DF" w:rsidRDefault="00B27340" w:rsidP="00B27340">
            <w:pPr>
              <w:pStyle w:val="Zkladntext3"/>
              <w:jc w:val="center"/>
              <w:rPr>
                <w:rFonts w:ascii="Times New Roman" w:hAnsi="Times New Roman" w:cs="Times New Roman"/>
                <w:iCs/>
                <w:sz w:val="24"/>
                <w:szCs w:val="24"/>
              </w:rPr>
            </w:pPr>
            <w:r w:rsidRPr="00C148DF">
              <w:rPr>
                <w:rFonts w:ascii="Times New Roman" w:hAnsi="Times New Roman" w:cs="Times New Roman"/>
                <w:b/>
                <w:iCs/>
                <w:sz w:val="24"/>
                <w:szCs w:val="24"/>
              </w:rPr>
              <w:t xml:space="preserve">Obr. 1.2  </w:t>
            </w:r>
            <w:r w:rsidRPr="00C148DF">
              <w:rPr>
                <w:rFonts w:ascii="Times New Roman" w:hAnsi="Times New Roman" w:cs="Times New Roman"/>
                <w:iCs/>
                <w:sz w:val="24"/>
                <w:szCs w:val="24"/>
              </w:rPr>
              <w:t>Štruktúra inštalovaného výkonu v ES SR v roku 2019</w:t>
            </w:r>
          </w:p>
        </w:tc>
        <w:tc>
          <w:tcPr>
            <w:tcW w:w="4541" w:type="dxa"/>
            <w:vAlign w:val="center"/>
          </w:tcPr>
          <w:p w14:paraId="2372DC22" w14:textId="77777777" w:rsidR="00B27340" w:rsidRPr="00C148DF" w:rsidRDefault="00B27340" w:rsidP="00B27340">
            <w:pPr>
              <w:pStyle w:val="Zkladntext3"/>
              <w:jc w:val="center"/>
              <w:rPr>
                <w:rFonts w:ascii="Times New Roman" w:hAnsi="Times New Roman" w:cs="Times New Roman"/>
                <w:iCs/>
                <w:sz w:val="24"/>
                <w:szCs w:val="24"/>
              </w:rPr>
            </w:pPr>
            <w:r w:rsidRPr="00C148DF">
              <w:rPr>
                <w:rFonts w:ascii="Times New Roman" w:hAnsi="Times New Roman" w:cs="Times New Roman"/>
                <w:b/>
                <w:iCs/>
                <w:sz w:val="24"/>
                <w:szCs w:val="24"/>
              </w:rPr>
              <w:t xml:space="preserve">Obr. 1.3  </w:t>
            </w:r>
            <w:r w:rsidRPr="00C148DF">
              <w:rPr>
                <w:rFonts w:ascii="Times New Roman" w:hAnsi="Times New Roman" w:cs="Times New Roman"/>
                <w:iCs/>
                <w:sz w:val="24"/>
                <w:szCs w:val="24"/>
              </w:rPr>
              <w:t>Štruktúra výroby elektriny v ES SR v roku 2019</w:t>
            </w:r>
          </w:p>
        </w:tc>
      </w:tr>
    </w:tbl>
    <w:p w14:paraId="5AE44BBD" w14:textId="77777777" w:rsidR="00B27340" w:rsidRPr="00C148DF" w:rsidRDefault="00B27340" w:rsidP="00B27340">
      <w:pPr>
        <w:tabs>
          <w:tab w:val="left" w:pos="1892"/>
        </w:tabs>
        <w:spacing w:after="0"/>
        <w:rPr>
          <w:rFonts w:ascii="Times New Roman" w:hAnsi="Times New Roman" w:cs="Times New Roman"/>
          <w:sz w:val="24"/>
          <w:szCs w:val="24"/>
        </w:rPr>
      </w:pPr>
      <w:r w:rsidRPr="00C148DF">
        <w:rPr>
          <w:rFonts w:ascii="Times New Roman" w:hAnsi="Times New Roman" w:cs="Times New Roman"/>
          <w:sz w:val="24"/>
          <w:szCs w:val="24"/>
        </w:rPr>
        <w:tab/>
      </w:r>
    </w:p>
    <w:p w14:paraId="033A6D4D" w14:textId="77777777" w:rsidR="00B27340" w:rsidRPr="00C148DF" w:rsidRDefault="00B27340" w:rsidP="00B27340">
      <w:pPr>
        <w:rPr>
          <w:rFonts w:ascii="Times New Roman" w:hAnsi="Times New Roman" w:cs="Times New Roman"/>
          <w:sz w:val="24"/>
          <w:szCs w:val="24"/>
        </w:rPr>
      </w:pPr>
      <w:r w:rsidRPr="00C148DF">
        <w:rPr>
          <w:rFonts w:ascii="Times New Roman" w:hAnsi="Times New Roman" w:cs="Times New Roman"/>
          <w:sz w:val="24"/>
          <w:szCs w:val="24"/>
        </w:rPr>
        <w:t>Inštalovaný výkon zariadení na výrobu elektriny v ES SR dosiahol v roku 2019 hodnotu 7 716 MW. Oproti roku 2018 došlo k poklesu o cca 12 MW.</w:t>
      </w:r>
    </w:p>
    <w:p w14:paraId="737FDC11" w14:textId="77777777" w:rsidR="00B27340" w:rsidRPr="00DE273F" w:rsidRDefault="00B27340" w:rsidP="005F0557">
      <w:pPr>
        <w:pStyle w:val="Nadpis2"/>
        <w:numPr>
          <w:ilvl w:val="1"/>
          <w:numId w:val="12"/>
        </w:numPr>
        <w:spacing w:before="240" w:after="120" w:line="259" w:lineRule="auto"/>
        <w:ind w:left="578" w:hanging="578"/>
        <w:jc w:val="both"/>
        <w:rPr>
          <w:rFonts w:ascii="Times New Roman" w:hAnsi="Times New Roman" w:cs="Times New Roman"/>
          <w:b/>
          <w:color w:val="000000" w:themeColor="text1"/>
          <w:sz w:val="24"/>
          <w:szCs w:val="24"/>
        </w:rPr>
      </w:pPr>
      <w:bookmarkStart w:id="5" w:name="_Toc46594162"/>
      <w:r w:rsidRPr="00DE273F">
        <w:rPr>
          <w:rFonts w:ascii="Times New Roman" w:hAnsi="Times New Roman" w:cs="Times New Roman"/>
          <w:b/>
          <w:color w:val="000000" w:themeColor="text1"/>
          <w:sz w:val="24"/>
          <w:szCs w:val="24"/>
        </w:rPr>
        <w:t>Cezhraničný prenos a tranzitné toky elektriny</w:t>
      </w:r>
      <w:bookmarkEnd w:id="5"/>
    </w:p>
    <w:p w14:paraId="0B2A61C1" w14:textId="77777777" w:rsidR="00B27340" w:rsidRPr="00C148DF" w:rsidRDefault="00B27340" w:rsidP="00C148DF">
      <w:pPr>
        <w:jc w:val="both"/>
        <w:rPr>
          <w:rFonts w:ascii="Times New Roman" w:hAnsi="Times New Roman" w:cs="Times New Roman"/>
          <w:sz w:val="24"/>
          <w:szCs w:val="24"/>
        </w:rPr>
      </w:pPr>
      <w:r w:rsidRPr="00C148DF">
        <w:rPr>
          <w:rFonts w:ascii="Times New Roman" w:hAnsi="Times New Roman" w:cs="Times New Roman"/>
          <w:sz w:val="24"/>
          <w:szCs w:val="24"/>
        </w:rPr>
        <w:t xml:space="preserve">PS SR je </w:t>
      </w:r>
      <w:r w:rsidRPr="00C148DF">
        <w:rPr>
          <w:rFonts w:ascii="Times New Roman" w:hAnsi="Times New Roman" w:cs="Times New Roman"/>
          <w:iCs/>
          <w:sz w:val="24"/>
          <w:szCs w:val="24"/>
        </w:rPr>
        <w:t>vzhľadom na svoju polohu a rozloženie cezhraničných prepojení</w:t>
      </w:r>
      <w:r w:rsidRPr="00C148DF">
        <w:rPr>
          <w:rFonts w:ascii="Times New Roman" w:hAnsi="Times New Roman" w:cs="Times New Roman"/>
          <w:sz w:val="24"/>
          <w:szCs w:val="24"/>
        </w:rPr>
        <w:t xml:space="preserve"> neustále zaťažovaná neplánovanými cezhraničnými tokmi elektriny, následkom čoho sa zvyšujú nároky na prevádzkovateľa PS zaistiť prevádzkovú bezpečnosť a spoľahlivosť sústavy.</w:t>
      </w:r>
    </w:p>
    <w:p w14:paraId="73F4F0F7" w14:textId="77777777" w:rsidR="00B27340" w:rsidRPr="00C148DF" w:rsidRDefault="00B27340" w:rsidP="00C148DF">
      <w:pPr>
        <w:jc w:val="both"/>
        <w:rPr>
          <w:rFonts w:ascii="Times New Roman" w:hAnsi="Times New Roman" w:cs="Times New Roman"/>
          <w:sz w:val="24"/>
          <w:szCs w:val="24"/>
        </w:rPr>
      </w:pPr>
      <w:r w:rsidRPr="00C148DF">
        <w:rPr>
          <w:rFonts w:ascii="Times New Roman" w:hAnsi="Times New Roman" w:cs="Times New Roman"/>
          <w:sz w:val="24"/>
          <w:szCs w:val="24"/>
        </w:rPr>
        <w:t xml:space="preserve">V roku 2019 klesla oproti roku 2018 potreba importu elektriny do SR o 2 097 </w:t>
      </w:r>
      <w:proofErr w:type="spellStart"/>
      <w:r w:rsidRPr="00C148DF">
        <w:rPr>
          <w:rFonts w:ascii="Times New Roman" w:hAnsi="Times New Roman" w:cs="Times New Roman"/>
          <w:sz w:val="24"/>
          <w:szCs w:val="24"/>
        </w:rPr>
        <w:t>GWh</w:t>
      </w:r>
      <w:proofErr w:type="spellEnd"/>
      <w:r w:rsidRPr="00C148DF">
        <w:rPr>
          <w:rFonts w:ascii="Times New Roman" w:hAnsi="Times New Roman" w:cs="Times New Roman"/>
          <w:sz w:val="24"/>
          <w:szCs w:val="24"/>
        </w:rPr>
        <w:t xml:space="preserve"> (výroba elektriny + 1 460 </w:t>
      </w:r>
      <w:proofErr w:type="spellStart"/>
      <w:r w:rsidRPr="00C148DF">
        <w:rPr>
          <w:rFonts w:ascii="Times New Roman" w:hAnsi="Times New Roman" w:cs="Times New Roman"/>
          <w:sz w:val="24"/>
          <w:szCs w:val="24"/>
        </w:rPr>
        <w:t>GWh</w:t>
      </w:r>
      <w:proofErr w:type="spellEnd"/>
      <w:r w:rsidRPr="00C148DF">
        <w:rPr>
          <w:rFonts w:ascii="Times New Roman" w:hAnsi="Times New Roman" w:cs="Times New Roman"/>
          <w:sz w:val="24"/>
          <w:szCs w:val="24"/>
        </w:rPr>
        <w:t>, spotreba elektriny - 637 </w:t>
      </w:r>
      <w:proofErr w:type="spellStart"/>
      <w:r w:rsidRPr="00C148DF">
        <w:rPr>
          <w:rFonts w:ascii="Times New Roman" w:hAnsi="Times New Roman" w:cs="Times New Roman"/>
          <w:sz w:val="24"/>
          <w:szCs w:val="24"/>
        </w:rPr>
        <w:t>GWh</w:t>
      </w:r>
      <w:proofErr w:type="spellEnd"/>
      <w:r w:rsidRPr="00C148DF">
        <w:rPr>
          <w:rFonts w:ascii="Times New Roman" w:hAnsi="Times New Roman" w:cs="Times New Roman"/>
          <w:sz w:val="24"/>
          <w:szCs w:val="24"/>
        </w:rPr>
        <w:t xml:space="preserve">). Pri cezhraničných prenosoch došlo k nárastu, import stúpol o 995 </w:t>
      </w:r>
      <w:proofErr w:type="spellStart"/>
      <w:r w:rsidRPr="00C148DF">
        <w:rPr>
          <w:rFonts w:ascii="Times New Roman" w:hAnsi="Times New Roman" w:cs="Times New Roman"/>
          <w:sz w:val="24"/>
          <w:szCs w:val="24"/>
        </w:rPr>
        <w:t>GWh</w:t>
      </w:r>
      <w:proofErr w:type="spellEnd"/>
      <w:r w:rsidRPr="00C148DF">
        <w:rPr>
          <w:rFonts w:ascii="Times New Roman" w:hAnsi="Times New Roman" w:cs="Times New Roman"/>
          <w:sz w:val="24"/>
          <w:szCs w:val="24"/>
        </w:rPr>
        <w:t xml:space="preserve"> a export o 3 092 </w:t>
      </w:r>
      <w:proofErr w:type="spellStart"/>
      <w:r w:rsidRPr="00C148DF">
        <w:rPr>
          <w:rFonts w:ascii="Times New Roman" w:hAnsi="Times New Roman" w:cs="Times New Roman"/>
          <w:sz w:val="24"/>
          <w:szCs w:val="24"/>
        </w:rPr>
        <w:t>GWh</w:t>
      </w:r>
      <w:proofErr w:type="spellEnd"/>
      <w:r w:rsidRPr="00C148DF">
        <w:rPr>
          <w:rFonts w:ascii="Times New Roman" w:hAnsi="Times New Roman" w:cs="Times New Roman"/>
          <w:sz w:val="24"/>
          <w:szCs w:val="24"/>
        </w:rPr>
        <w:t xml:space="preserve">. </w:t>
      </w:r>
    </w:p>
    <w:tbl>
      <w:tblPr>
        <w:tblStyle w:val="Mriekatabuky"/>
        <w:tblpPr w:leftFromText="141" w:rightFromText="141" w:vertAnchor="text" w:horzAnchor="margin" w:tblpY="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27340" w:rsidRPr="00C148DF" w14:paraId="5A6ABCB1" w14:textId="77777777" w:rsidTr="00B27340">
        <w:tc>
          <w:tcPr>
            <w:tcW w:w="9072" w:type="dxa"/>
          </w:tcPr>
          <w:p w14:paraId="16CD3B5A"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iCs/>
                <w:noProof/>
                <w:sz w:val="24"/>
                <w:szCs w:val="24"/>
                <w:lang w:eastAsia="sk-SK"/>
              </w:rPr>
              <w:lastRenderedPageBreak/>
              <w:drawing>
                <wp:inline distT="0" distB="0" distL="0" distR="0" wp14:anchorId="1E58B519" wp14:editId="4C2832E2">
                  <wp:extent cx="4880345" cy="3652367"/>
                  <wp:effectExtent l="0" t="0" r="0" b="571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2276"/>
                          <a:stretch/>
                        </pic:blipFill>
                        <pic:spPr bwMode="auto">
                          <a:xfrm>
                            <a:off x="0" y="0"/>
                            <a:ext cx="4894770" cy="36631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7340" w:rsidRPr="00C148DF" w14:paraId="6141FB57" w14:textId="77777777" w:rsidTr="00B27340">
        <w:tc>
          <w:tcPr>
            <w:tcW w:w="9072" w:type="dxa"/>
          </w:tcPr>
          <w:p w14:paraId="4BD5B9B4" w14:textId="77777777" w:rsidR="00B27340" w:rsidRPr="00774C33" w:rsidRDefault="00B27340" w:rsidP="00B27340">
            <w:pPr>
              <w:pStyle w:val="Zkladntext3"/>
              <w:spacing w:line="259" w:lineRule="auto"/>
              <w:jc w:val="center"/>
              <w:rPr>
                <w:rFonts w:ascii="Times New Roman" w:hAnsi="Times New Roman" w:cs="Times New Roman"/>
                <w:b/>
                <w:iCs/>
                <w:sz w:val="22"/>
                <w:szCs w:val="22"/>
              </w:rPr>
            </w:pPr>
            <w:r w:rsidRPr="00774C33">
              <w:rPr>
                <w:rFonts w:ascii="Times New Roman" w:hAnsi="Times New Roman" w:cs="Times New Roman"/>
                <w:b/>
                <w:iCs/>
                <w:sz w:val="22"/>
                <w:szCs w:val="22"/>
              </w:rPr>
              <w:t xml:space="preserve">Obr. 1.4  </w:t>
            </w:r>
            <w:r w:rsidRPr="00774C33">
              <w:rPr>
                <w:rFonts w:ascii="Times New Roman" w:hAnsi="Times New Roman" w:cs="Times New Roman"/>
                <w:iCs/>
                <w:sz w:val="22"/>
                <w:szCs w:val="22"/>
              </w:rPr>
              <w:t>Bilancia cezhraničných výmen ES SR v roku 2019</w:t>
            </w:r>
          </w:p>
        </w:tc>
      </w:tr>
    </w:tbl>
    <w:p w14:paraId="3B54275A" w14:textId="7B752402" w:rsidR="00B27340" w:rsidRPr="00C148DF" w:rsidRDefault="00C148DF" w:rsidP="00774C33">
      <w:pPr>
        <w:pStyle w:val="Zkladntext3"/>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Pr="00774C33">
        <w:rPr>
          <w:rFonts w:ascii="Times New Roman" w:hAnsi="Times New Roman" w:cs="Times New Roman"/>
          <w:sz w:val="20"/>
          <w:szCs w:val="20"/>
        </w:rPr>
        <w:br/>
      </w:r>
      <w:r w:rsidR="00774C33">
        <w:rPr>
          <w:rFonts w:ascii="Times New Roman" w:hAnsi="Times New Roman" w:cs="Times New Roman"/>
          <w:sz w:val="24"/>
          <w:szCs w:val="24"/>
        </w:rPr>
        <w:br/>
      </w:r>
      <w:r w:rsidR="00774C33">
        <w:rPr>
          <w:rFonts w:ascii="Times New Roman" w:hAnsi="Times New Roman" w:cs="Times New Roman"/>
          <w:sz w:val="24"/>
          <w:szCs w:val="24"/>
        </w:rPr>
        <w:br/>
      </w:r>
      <w:r w:rsidR="00774C33">
        <w:rPr>
          <w:rFonts w:ascii="Times New Roman" w:hAnsi="Times New Roman" w:cs="Times New Roman"/>
          <w:sz w:val="24"/>
          <w:szCs w:val="24"/>
        </w:rPr>
        <w:br/>
      </w:r>
      <w:r w:rsidR="00B27340" w:rsidRPr="00C148DF">
        <w:rPr>
          <w:rFonts w:ascii="Times New Roman" w:hAnsi="Times New Roman" w:cs="Times New Roman"/>
          <w:sz w:val="24"/>
          <w:szCs w:val="24"/>
        </w:rPr>
        <w:t xml:space="preserve">V roku </w:t>
      </w:r>
      <w:r w:rsidR="00774C33">
        <w:rPr>
          <w:rFonts w:ascii="Times New Roman" w:hAnsi="Times New Roman" w:cs="Times New Roman"/>
          <w:sz w:val="24"/>
          <w:szCs w:val="24"/>
        </w:rPr>
        <w:t xml:space="preserve"> </w:t>
      </w:r>
      <w:r w:rsidR="00B27340" w:rsidRPr="00C148DF">
        <w:rPr>
          <w:rFonts w:ascii="Times New Roman" w:hAnsi="Times New Roman" w:cs="Times New Roman"/>
          <w:sz w:val="24"/>
          <w:szCs w:val="24"/>
        </w:rPr>
        <w:t xml:space="preserve">2019, </w:t>
      </w:r>
      <w:r w:rsidR="00774C33">
        <w:rPr>
          <w:rFonts w:ascii="Times New Roman" w:hAnsi="Times New Roman" w:cs="Times New Roman"/>
          <w:sz w:val="24"/>
          <w:szCs w:val="24"/>
        </w:rPr>
        <w:t xml:space="preserve"> </w:t>
      </w:r>
      <w:r w:rsidR="00B27340" w:rsidRPr="00C148DF">
        <w:rPr>
          <w:rFonts w:ascii="Times New Roman" w:hAnsi="Times New Roman" w:cs="Times New Roman"/>
          <w:sz w:val="24"/>
          <w:szCs w:val="24"/>
        </w:rPr>
        <w:t xml:space="preserve">tak </w:t>
      </w:r>
      <w:r w:rsidR="00774C33">
        <w:rPr>
          <w:rFonts w:ascii="Times New Roman" w:hAnsi="Times New Roman" w:cs="Times New Roman"/>
          <w:sz w:val="24"/>
          <w:szCs w:val="24"/>
        </w:rPr>
        <w:t xml:space="preserve"> </w:t>
      </w:r>
      <w:r w:rsidR="00B27340" w:rsidRPr="00C148DF">
        <w:rPr>
          <w:rFonts w:ascii="Times New Roman" w:hAnsi="Times New Roman" w:cs="Times New Roman"/>
          <w:sz w:val="24"/>
          <w:szCs w:val="24"/>
        </w:rPr>
        <w:t>ako</w:t>
      </w:r>
      <w:r w:rsidR="00774C33">
        <w:rPr>
          <w:rFonts w:ascii="Times New Roman" w:hAnsi="Times New Roman" w:cs="Times New Roman"/>
          <w:sz w:val="24"/>
          <w:szCs w:val="24"/>
        </w:rPr>
        <w:t xml:space="preserve"> </w:t>
      </w:r>
      <w:r w:rsidR="00B27340" w:rsidRPr="00C148DF">
        <w:rPr>
          <w:rFonts w:ascii="Times New Roman" w:hAnsi="Times New Roman" w:cs="Times New Roman"/>
          <w:sz w:val="24"/>
          <w:szCs w:val="24"/>
        </w:rPr>
        <w:t xml:space="preserve"> po </w:t>
      </w:r>
      <w:r w:rsidR="00774C33">
        <w:rPr>
          <w:rFonts w:ascii="Times New Roman" w:hAnsi="Times New Roman" w:cs="Times New Roman"/>
          <w:sz w:val="24"/>
          <w:szCs w:val="24"/>
        </w:rPr>
        <w:t xml:space="preserve"> </w:t>
      </w:r>
      <w:r w:rsidR="00B27340" w:rsidRPr="00C148DF">
        <w:rPr>
          <w:rFonts w:ascii="Times New Roman" w:hAnsi="Times New Roman" w:cs="Times New Roman"/>
          <w:sz w:val="24"/>
          <w:szCs w:val="24"/>
        </w:rPr>
        <w:t>iné roky, boli dominantné importné toky na profiloch SK-CZ a SK-PL a exportné toky boli prevládajúce na SK-HU a SK-UA profiloch. Z dôvodu medziročného nárastu tokov na cezhraničných profiloch SK-HU, SK-UA a SK-CZ, stúpol aj tranzit cez PS SR.</w:t>
      </w:r>
    </w:p>
    <w:tbl>
      <w:tblPr>
        <w:tblStyle w:val="Mriekatabuky"/>
        <w:tblpPr w:leftFromText="141" w:rightFromText="141" w:vertAnchor="text" w:horzAnchor="margin" w:tblpY="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7"/>
      </w:tblGrid>
      <w:tr w:rsidR="00B27340" w:rsidRPr="00C148DF" w14:paraId="284099E1" w14:textId="77777777" w:rsidTr="00B27340">
        <w:tc>
          <w:tcPr>
            <w:tcW w:w="9107" w:type="dxa"/>
          </w:tcPr>
          <w:p w14:paraId="26766D02"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iCs/>
                <w:noProof/>
                <w:sz w:val="24"/>
                <w:szCs w:val="24"/>
                <w:lang w:eastAsia="sk-SK"/>
              </w:rPr>
              <w:drawing>
                <wp:inline distT="0" distB="0" distL="0" distR="0" wp14:anchorId="3D34E7C9" wp14:editId="31ACE223">
                  <wp:extent cx="5645889" cy="3487479"/>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040"/>
                          <a:stretch/>
                        </pic:blipFill>
                        <pic:spPr bwMode="auto">
                          <a:xfrm>
                            <a:off x="0" y="0"/>
                            <a:ext cx="5672871" cy="35041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7340" w:rsidRPr="00774C33" w14:paraId="53EDF3B8" w14:textId="77777777" w:rsidTr="00B27340">
        <w:tc>
          <w:tcPr>
            <w:tcW w:w="9107" w:type="dxa"/>
          </w:tcPr>
          <w:p w14:paraId="515C1066" w14:textId="77777777" w:rsidR="00B27340" w:rsidRPr="00774C33" w:rsidRDefault="00B27340" w:rsidP="00B27340">
            <w:pPr>
              <w:pStyle w:val="Zkladntext3"/>
              <w:spacing w:line="259" w:lineRule="auto"/>
              <w:jc w:val="center"/>
              <w:rPr>
                <w:rFonts w:ascii="Times New Roman" w:hAnsi="Times New Roman" w:cs="Times New Roman"/>
                <w:b/>
                <w:iCs/>
                <w:sz w:val="22"/>
                <w:szCs w:val="22"/>
              </w:rPr>
            </w:pPr>
            <w:r w:rsidRPr="00774C33">
              <w:rPr>
                <w:rFonts w:ascii="Times New Roman" w:hAnsi="Times New Roman" w:cs="Times New Roman"/>
                <w:b/>
                <w:iCs/>
                <w:sz w:val="22"/>
                <w:szCs w:val="22"/>
              </w:rPr>
              <w:t xml:space="preserve">Obr. 1.5  </w:t>
            </w:r>
            <w:r w:rsidRPr="00774C33">
              <w:rPr>
                <w:rFonts w:ascii="Times New Roman" w:hAnsi="Times New Roman" w:cs="Times New Roman"/>
                <w:iCs/>
                <w:sz w:val="22"/>
                <w:szCs w:val="22"/>
              </w:rPr>
              <w:t>Ročné objemy nameraných importných a exportných tokov elektriny na cezhraničných profiloch PS SR za roky 2010 – 2019</w:t>
            </w:r>
          </w:p>
        </w:tc>
      </w:tr>
    </w:tbl>
    <w:p w14:paraId="6AABAB70" w14:textId="2916FD35" w:rsidR="00B27340" w:rsidRPr="00C148DF" w:rsidRDefault="00C148DF" w:rsidP="00B27340">
      <w:pPr>
        <w:spacing w:before="120" w:after="60"/>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00B27340" w:rsidRPr="00C148DF">
        <w:rPr>
          <w:rFonts w:ascii="Times New Roman" w:hAnsi="Times New Roman" w:cs="Times New Roman"/>
          <w:sz w:val="24"/>
          <w:szCs w:val="24"/>
        </w:rPr>
        <w:lastRenderedPageBreak/>
        <w:t>Nežiaduce dôsledky neplánovaných tokov elektriny sú:</w:t>
      </w:r>
      <w:r>
        <w:rPr>
          <w:rFonts w:ascii="Times New Roman" w:hAnsi="Times New Roman" w:cs="Times New Roman"/>
          <w:sz w:val="24"/>
          <w:szCs w:val="24"/>
        </w:rPr>
        <w:br/>
      </w:r>
    </w:p>
    <w:p w14:paraId="56DCE079" w14:textId="77777777" w:rsidR="00B27340" w:rsidRPr="00C148DF" w:rsidRDefault="00B27340" w:rsidP="005F0557">
      <w:pPr>
        <w:pStyle w:val="Odsekzoznamu"/>
        <w:numPr>
          <w:ilvl w:val="0"/>
          <w:numId w:val="15"/>
        </w:numPr>
        <w:spacing w:before="80" w:after="80" w:line="240" w:lineRule="auto"/>
        <w:ind w:left="709" w:hanging="425"/>
        <w:contextualSpacing w:val="0"/>
        <w:jc w:val="both"/>
        <w:rPr>
          <w:rFonts w:ascii="Times New Roman" w:hAnsi="Times New Roman" w:cs="Times New Roman"/>
          <w:sz w:val="24"/>
          <w:szCs w:val="24"/>
        </w:rPr>
      </w:pPr>
      <w:r w:rsidRPr="00C148DF">
        <w:rPr>
          <w:rFonts w:ascii="Times New Roman" w:hAnsi="Times New Roman" w:cs="Times New Roman"/>
          <w:sz w:val="24"/>
          <w:szCs w:val="24"/>
        </w:rPr>
        <w:t>veľké rozdiely medzi reálnymi a plánovanými tokmi elektriny,</w:t>
      </w:r>
    </w:p>
    <w:p w14:paraId="729C544D" w14:textId="77777777" w:rsidR="00B27340" w:rsidRPr="00C148DF" w:rsidRDefault="00B27340" w:rsidP="005F0557">
      <w:pPr>
        <w:pStyle w:val="Odsekzoznamu"/>
        <w:numPr>
          <w:ilvl w:val="0"/>
          <w:numId w:val="15"/>
        </w:numPr>
        <w:spacing w:before="80" w:after="80" w:line="240" w:lineRule="auto"/>
        <w:ind w:left="709" w:hanging="425"/>
        <w:contextualSpacing w:val="0"/>
        <w:jc w:val="both"/>
        <w:rPr>
          <w:rFonts w:ascii="Times New Roman" w:hAnsi="Times New Roman" w:cs="Times New Roman"/>
          <w:sz w:val="24"/>
          <w:szCs w:val="24"/>
        </w:rPr>
      </w:pPr>
      <w:r w:rsidRPr="00C148DF">
        <w:rPr>
          <w:rFonts w:ascii="Times New Roman" w:hAnsi="Times New Roman" w:cs="Times New Roman"/>
          <w:sz w:val="24"/>
          <w:szCs w:val="24"/>
        </w:rPr>
        <w:t>stanovenie vyššej hodnoty bezpečnostnej rezervy TRM na konkrétnych cezhraničných profiloch, čo má vplyv na zníženie voľnej obchodovateľnej kapacity,</w:t>
      </w:r>
    </w:p>
    <w:p w14:paraId="725AFFB6" w14:textId="77777777" w:rsidR="00B27340" w:rsidRPr="00C148DF" w:rsidRDefault="00B27340" w:rsidP="005F0557">
      <w:pPr>
        <w:pStyle w:val="Odsekzoznamu"/>
        <w:numPr>
          <w:ilvl w:val="0"/>
          <w:numId w:val="15"/>
        </w:numPr>
        <w:spacing w:before="80" w:after="80" w:line="240" w:lineRule="auto"/>
        <w:ind w:left="709" w:hanging="425"/>
        <w:contextualSpacing w:val="0"/>
        <w:jc w:val="both"/>
        <w:rPr>
          <w:rFonts w:ascii="Times New Roman" w:hAnsi="Times New Roman" w:cs="Times New Roman"/>
          <w:sz w:val="24"/>
          <w:szCs w:val="24"/>
        </w:rPr>
      </w:pPr>
      <w:r w:rsidRPr="00C148DF">
        <w:rPr>
          <w:rFonts w:ascii="Times New Roman" w:hAnsi="Times New Roman" w:cs="Times New Roman"/>
          <w:sz w:val="24"/>
          <w:szCs w:val="24"/>
        </w:rPr>
        <w:t>zvýšené celkové náklady na zaistenie bezpečnej a spoľahlivej prevádzky PS SR,</w:t>
      </w:r>
    </w:p>
    <w:p w14:paraId="2810DEFB" w14:textId="77777777" w:rsidR="00B27340" w:rsidRPr="00C148DF" w:rsidRDefault="00B27340" w:rsidP="005F0557">
      <w:pPr>
        <w:pStyle w:val="Odsekzoznamu"/>
        <w:numPr>
          <w:ilvl w:val="0"/>
          <w:numId w:val="15"/>
        </w:numPr>
        <w:spacing w:before="80" w:after="80" w:line="240" w:lineRule="auto"/>
        <w:ind w:left="709" w:hanging="425"/>
        <w:contextualSpacing w:val="0"/>
        <w:jc w:val="both"/>
        <w:rPr>
          <w:rFonts w:ascii="Times New Roman" w:hAnsi="Times New Roman" w:cs="Times New Roman"/>
          <w:sz w:val="24"/>
          <w:szCs w:val="24"/>
        </w:rPr>
      </w:pPr>
      <w:r w:rsidRPr="00C148DF">
        <w:rPr>
          <w:rFonts w:ascii="Times New Roman" w:hAnsi="Times New Roman" w:cs="Times New Roman"/>
          <w:sz w:val="24"/>
          <w:szCs w:val="24"/>
        </w:rPr>
        <w:t>nárast strát na zariadeniach PS SR.</w:t>
      </w:r>
    </w:p>
    <w:p w14:paraId="2A471262" w14:textId="77777777" w:rsidR="00B27340" w:rsidRPr="00C148DF" w:rsidRDefault="00B27340" w:rsidP="00B27340">
      <w:pPr>
        <w:spacing w:before="240" w:after="120"/>
        <w:rPr>
          <w:rFonts w:ascii="Times New Roman" w:hAnsi="Times New Roman" w:cs="Times New Roman"/>
          <w:sz w:val="24"/>
          <w:szCs w:val="24"/>
        </w:rPr>
      </w:pPr>
      <w:r w:rsidRPr="00C148DF">
        <w:rPr>
          <w:rFonts w:ascii="Times New Roman" w:hAnsi="Times New Roman" w:cs="Times New Roman"/>
          <w:sz w:val="24"/>
          <w:szCs w:val="24"/>
        </w:rPr>
        <w:t>Prevádzkovateľ PS SR má obmedzené možnosti na </w:t>
      </w:r>
      <w:proofErr w:type="spellStart"/>
      <w:r w:rsidRPr="00C148DF">
        <w:rPr>
          <w:rFonts w:ascii="Times New Roman" w:hAnsi="Times New Roman" w:cs="Times New Roman"/>
          <w:sz w:val="24"/>
          <w:szCs w:val="24"/>
        </w:rPr>
        <w:t>vysporiadanie</w:t>
      </w:r>
      <w:proofErr w:type="spellEnd"/>
      <w:r w:rsidRPr="00C148DF">
        <w:rPr>
          <w:rFonts w:ascii="Times New Roman" w:hAnsi="Times New Roman" w:cs="Times New Roman"/>
          <w:sz w:val="24"/>
          <w:szCs w:val="24"/>
        </w:rPr>
        <w:t xml:space="preserve"> sa s dôsledkami neplánovaných tokov elektriny a tiež na zaistenie prevádzkovej bezpečnosti a spoľahlivosti v tejto súvislosti. V prostredí liberalizovaného trhu nemajú prevádzkovatelia PS povolené zasahovať do trhových mechanizmov, pokiaľ nie je ohrozená bezpečnosť sústavy. Nápravné opatrenia, ktoré PPS môže použiť v zmysle zmluvy SAFA, sú akékoľvek opatrenia, ktoré prevádzkovateľ PS uplatní včas, aby plnil kritérium N-1. Možnosti využívania nápravných opatrení v ES SR sú </w:t>
      </w:r>
      <w:r w:rsidRPr="00C148DF">
        <w:rPr>
          <w:rFonts w:ascii="Times New Roman" w:hAnsi="Times New Roman" w:cs="Times New Roman"/>
          <w:iCs/>
          <w:sz w:val="24"/>
          <w:szCs w:val="24"/>
        </w:rPr>
        <w:t>uvedené v kapitole 5.3.</w:t>
      </w:r>
    </w:p>
    <w:p w14:paraId="03991338" w14:textId="77777777" w:rsidR="00B27340" w:rsidRPr="00C148DF" w:rsidRDefault="00B27340" w:rsidP="00B27340">
      <w:pPr>
        <w:pStyle w:val="Zkladntext3"/>
        <w:spacing w:line="259" w:lineRule="auto"/>
        <w:rPr>
          <w:rFonts w:ascii="Times New Roman" w:hAnsi="Times New Roman" w:cs="Times New Roman"/>
          <w:sz w:val="24"/>
          <w:szCs w:val="24"/>
        </w:rPr>
      </w:pPr>
      <w:r w:rsidRPr="00C148DF">
        <w:rPr>
          <w:rFonts w:ascii="Times New Roman" w:hAnsi="Times New Roman" w:cs="Times New Roman"/>
          <w:iCs/>
          <w:sz w:val="24"/>
          <w:szCs w:val="24"/>
        </w:rPr>
        <w:t>Nežiaducim dôsledkom aplikovania týchto nápravných opatrení, v ktorých sa mení zapojenie PS SR, môže byť čiastočné zníženie bezpečnosti a spoľahlivosti prevádzky danej časti PS SR a zvýšenie nákladov na prevádzku sústavy.</w:t>
      </w:r>
    </w:p>
    <w:p w14:paraId="2283081D" w14:textId="77777777" w:rsidR="00B27340" w:rsidRPr="00C148DF" w:rsidRDefault="00B27340" w:rsidP="00B27340">
      <w:pPr>
        <w:spacing w:before="120" w:after="120"/>
        <w:rPr>
          <w:rFonts w:ascii="Times New Roman" w:hAnsi="Times New Roman" w:cs="Times New Roman"/>
          <w:sz w:val="24"/>
          <w:szCs w:val="24"/>
        </w:rPr>
      </w:pPr>
      <w:r w:rsidRPr="00C148DF">
        <w:rPr>
          <w:rFonts w:ascii="Times New Roman" w:hAnsi="Times New Roman" w:cs="Times New Roman"/>
          <w:color w:val="000000" w:themeColor="text1"/>
          <w:sz w:val="24"/>
          <w:szCs w:val="24"/>
        </w:rPr>
        <w:t xml:space="preserve">Je však potrebné zdôrazniť, že prípadný </w:t>
      </w:r>
      <w:r w:rsidRPr="00C148DF">
        <w:rPr>
          <w:rFonts w:ascii="Times New Roman" w:hAnsi="Times New Roman" w:cs="Times New Roman"/>
          <w:sz w:val="24"/>
          <w:szCs w:val="24"/>
        </w:rPr>
        <w:t xml:space="preserve">pokles tranzitných tokov neznamená priamo úmerné zníženie počtu zložitých prevádzkových stavov, s ktorými sa musí PPS v reálnej prevádzke počas roka </w:t>
      </w:r>
      <w:proofErr w:type="spellStart"/>
      <w:r w:rsidRPr="00C148DF">
        <w:rPr>
          <w:rFonts w:ascii="Times New Roman" w:hAnsi="Times New Roman" w:cs="Times New Roman"/>
          <w:sz w:val="24"/>
          <w:szCs w:val="24"/>
        </w:rPr>
        <w:t>vysporiadať</w:t>
      </w:r>
      <w:proofErr w:type="spellEnd"/>
      <w:r w:rsidRPr="00C148DF">
        <w:rPr>
          <w:rFonts w:ascii="Times New Roman" w:hAnsi="Times New Roman" w:cs="Times New Roman"/>
          <w:sz w:val="24"/>
          <w:szCs w:val="24"/>
        </w:rPr>
        <w:t xml:space="preserve">.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27340" w:rsidRPr="00C148DF" w14:paraId="4798F433" w14:textId="77777777" w:rsidTr="00B27340">
        <w:tc>
          <w:tcPr>
            <w:tcW w:w="9072" w:type="dxa"/>
          </w:tcPr>
          <w:p w14:paraId="17DAFFED"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iCs/>
                <w:noProof/>
                <w:sz w:val="24"/>
                <w:szCs w:val="24"/>
                <w:lang w:eastAsia="sk-SK"/>
              </w:rPr>
              <w:drawing>
                <wp:inline distT="0" distB="0" distL="0" distR="0" wp14:anchorId="506C2391" wp14:editId="5F9D5D1F">
                  <wp:extent cx="5523077" cy="3519377"/>
                  <wp:effectExtent l="0" t="0" r="1905" b="508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b="2339"/>
                          <a:stretch/>
                        </pic:blipFill>
                        <pic:spPr bwMode="auto">
                          <a:xfrm>
                            <a:off x="0" y="0"/>
                            <a:ext cx="5523077" cy="35193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7340" w:rsidRPr="00C148DF" w14:paraId="2AF527E6" w14:textId="77777777" w:rsidTr="00B27340">
        <w:tc>
          <w:tcPr>
            <w:tcW w:w="9072" w:type="dxa"/>
          </w:tcPr>
          <w:p w14:paraId="51DD1ED8"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b/>
                <w:sz w:val="24"/>
                <w:szCs w:val="24"/>
              </w:rPr>
              <w:t xml:space="preserve">Obr. 1.6  </w:t>
            </w:r>
            <w:r w:rsidRPr="00C148DF">
              <w:rPr>
                <w:rFonts w:ascii="Times New Roman" w:hAnsi="Times New Roman" w:cs="Times New Roman"/>
                <w:sz w:val="24"/>
                <w:szCs w:val="24"/>
              </w:rPr>
              <w:t>Krivky trvania tranzitných výkonov v PS SR pre vybrané roky 2012 až 2019</w:t>
            </w:r>
          </w:p>
        </w:tc>
      </w:tr>
    </w:tbl>
    <w:p w14:paraId="1A087DD2" w14:textId="77777777" w:rsidR="00B27340" w:rsidRPr="00C148DF" w:rsidRDefault="00B27340" w:rsidP="00945E80">
      <w:pPr>
        <w:spacing w:before="120" w:after="120"/>
        <w:jc w:val="both"/>
        <w:rPr>
          <w:rFonts w:ascii="Times New Roman" w:hAnsi="Times New Roman" w:cs="Times New Roman"/>
          <w:sz w:val="24"/>
          <w:szCs w:val="24"/>
        </w:rPr>
      </w:pPr>
      <w:r w:rsidRPr="00C148DF">
        <w:rPr>
          <w:rFonts w:ascii="Times New Roman" w:hAnsi="Times New Roman" w:cs="Times New Roman"/>
          <w:sz w:val="24"/>
          <w:szCs w:val="24"/>
        </w:rPr>
        <w:t xml:space="preserve">Za účelom minimalizácie vplyvov neplánovaných tranzitných tokov elektriny na bezpečnosť prevádzky prepojených PS, je v pracovnej skupine „CORE CCR Project“ ENTSO-E, kde </w:t>
      </w:r>
      <w:r w:rsidRPr="00C148DF">
        <w:rPr>
          <w:rFonts w:ascii="Times New Roman" w:hAnsi="Times New Roman" w:cs="Times New Roman"/>
          <w:sz w:val="24"/>
          <w:szCs w:val="24"/>
        </w:rPr>
        <w:lastRenderedPageBreak/>
        <w:t xml:space="preserve">je združených 16 PPS, vyvíjaná metodika tzv. </w:t>
      </w:r>
      <w:proofErr w:type="spellStart"/>
      <w:r w:rsidRPr="00C148DF">
        <w:rPr>
          <w:rFonts w:ascii="Times New Roman" w:hAnsi="Times New Roman" w:cs="Times New Roman"/>
          <w:sz w:val="24"/>
          <w:szCs w:val="24"/>
        </w:rPr>
        <w:t>flow-based</w:t>
      </w:r>
      <w:proofErr w:type="spellEnd"/>
      <w:r w:rsidRPr="00C148DF">
        <w:rPr>
          <w:rFonts w:ascii="Times New Roman" w:hAnsi="Times New Roman" w:cs="Times New Roman"/>
          <w:sz w:val="24"/>
          <w:szCs w:val="24"/>
        </w:rPr>
        <w:t xml:space="preserve"> výpočtu alokácie cezhraničných prenosových kapacít. Proces jej implementácie je aktuálne v testovaní a nasadenie do reálnej prevádzky sa očakáva v priebehu roka 2021.</w:t>
      </w:r>
    </w:p>
    <w:p w14:paraId="52CF9DE8" w14:textId="77777777" w:rsidR="00B27340" w:rsidRPr="00C148DF" w:rsidRDefault="00B27340" w:rsidP="00945E80">
      <w:pPr>
        <w:spacing w:before="120" w:after="120"/>
        <w:jc w:val="both"/>
        <w:rPr>
          <w:rFonts w:ascii="Times New Roman" w:hAnsi="Times New Roman" w:cs="Times New Roman"/>
          <w:sz w:val="24"/>
          <w:szCs w:val="24"/>
        </w:rPr>
      </w:pPr>
      <w:r w:rsidRPr="00C148DF">
        <w:rPr>
          <w:rFonts w:ascii="Times New Roman" w:hAnsi="Times New Roman" w:cs="Times New Roman"/>
          <w:sz w:val="24"/>
          <w:szCs w:val="24"/>
        </w:rPr>
        <w:t xml:space="preserve">Základom myšlienky </w:t>
      </w:r>
      <w:proofErr w:type="spellStart"/>
      <w:r w:rsidRPr="00C148DF">
        <w:rPr>
          <w:rFonts w:ascii="Times New Roman" w:hAnsi="Times New Roman" w:cs="Times New Roman"/>
          <w:sz w:val="24"/>
          <w:szCs w:val="24"/>
        </w:rPr>
        <w:t>flow-based</w:t>
      </w:r>
      <w:proofErr w:type="spellEnd"/>
      <w:r w:rsidRPr="00C148DF">
        <w:rPr>
          <w:rFonts w:ascii="Times New Roman" w:hAnsi="Times New Roman" w:cs="Times New Roman"/>
          <w:sz w:val="24"/>
          <w:szCs w:val="24"/>
        </w:rPr>
        <w:t xml:space="preserve"> alokácie kapacít je snaha zahrnúť do procesu prideľovania kapacít reálnu </w:t>
      </w:r>
      <w:proofErr w:type="spellStart"/>
      <w:r w:rsidRPr="00C148DF">
        <w:rPr>
          <w:rFonts w:ascii="Times New Roman" w:hAnsi="Times New Roman" w:cs="Times New Roman"/>
          <w:sz w:val="24"/>
          <w:szCs w:val="24"/>
        </w:rPr>
        <w:t>topológiu</w:t>
      </w:r>
      <w:proofErr w:type="spellEnd"/>
      <w:r w:rsidRPr="00C148DF">
        <w:rPr>
          <w:rFonts w:ascii="Times New Roman" w:hAnsi="Times New Roman" w:cs="Times New Roman"/>
          <w:sz w:val="24"/>
          <w:szCs w:val="24"/>
        </w:rPr>
        <w:t xml:space="preserve"> PS a tiež zohľadniť skutočné rozdelenie fyzických tokov výkonu na jednotlivých cezhraničných profiloch, čo by sa malo prejaviť minimalizáciou rozdielov medzi obchodnými a reálnymi tokmi výkonu, t.j. minimalizáciou neplánovaných tranzitných tokov elektriny.</w:t>
      </w:r>
    </w:p>
    <w:p w14:paraId="01E9A51A" w14:textId="77777777" w:rsidR="00B27340" w:rsidRPr="00C148DF" w:rsidRDefault="00B27340" w:rsidP="00B27340">
      <w:pPr>
        <w:spacing w:before="120" w:after="120"/>
        <w:jc w:val="center"/>
        <w:rPr>
          <w:rFonts w:ascii="Times New Roman" w:hAnsi="Times New Roman" w:cs="Times New Roman"/>
          <w:sz w:val="24"/>
          <w:szCs w:val="24"/>
        </w:rPr>
      </w:pPr>
      <w:r w:rsidRPr="00C148DF">
        <w:rPr>
          <w:rFonts w:ascii="Times New Roman" w:hAnsi="Times New Roman" w:cs="Times New Roman"/>
          <w:noProof/>
          <w:sz w:val="24"/>
          <w:szCs w:val="24"/>
          <w:lang w:eastAsia="sk-SK"/>
        </w:rPr>
        <w:drawing>
          <wp:inline distT="0" distB="0" distL="0" distR="0" wp14:anchorId="330A5A3C" wp14:editId="2F347FD2">
            <wp:extent cx="2447925" cy="2248535"/>
            <wp:effectExtent l="0" t="0" r="9525" b="0"/>
            <wp:docPr id="1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2"/>
                    <pic:cNvPicPr>
                      <a:picLocks noChangeAspect="1"/>
                    </pic:cNvPicPr>
                  </pic:nvPicPr>
                  <pic:blipFill rotWithShape="1">
                    <a:blip r:embed="rId24" cstate="print">
                      <a:extLst>
                        <a:ext uri="{28A0092B-C50C-407E-A947-70E740481C1C}">
                          <a14:useLocalDpi xmlns:a14="http://schemas.microsoft.com/office/drawing/2010/main" val="0"/>
                        </a:ext>
                      </a:extLst>
                    </a:blip>
                    <a:srcRect t="2018"/>
                    <a:stretch/>
                  </pic:blipFill>
                  <pic:spPr bwMode="auto">
                    <a:xfrm>
                      <a:off x="0" y="0"/>
                      <a:ext cx="2447925" cy="2248535"/>
                    </a:xfrm>
                    <a:prstGeom prst="rect">
                      <a:avLst/>
                    </a:prstGeom>
                    <a:ln>
                      <a:noFill/>
                    </a:ln>
                    <a:extLst>
                      <a:ext uri="{53640926-AAD7-44D8-BBD7-CCE9431645EC}">
                        <a14:shadowObscured xmlns:a14="http://schemas.microsoft.com/office/drawing/2010/main"/>
                      </a:ext>
                    </a:extLst>
                  </pic:spPr>
                </pic:pic>
              </a:graphicData>
            </a:graphic>
          </wp:inline>
        </w:drawing>
      </w:r>
    </w:p>
    <w:p w14:paraId="7B6F856C" w14:textId="77777777" w:rsidR="00B27340" w:rsidRPr="00C148DF" w:rsidRDefault="00B27340" w:rsidP="00B27340">
      <w:pPr>
        <w:spacing w:before="120" w:after="0"/>
        <w:jc w:val="center"/>
        <w:rPr>
          <w:rFonts w:ascii="Times New Roman" w:hAnsi="Times New Roman" w:cs="Times New Roman"/>
          <w:sz w:val="24"/>
          <w:szCs w:val="24"/>
        </w:rPr>
      </w:pPr>
      <w:r w:rsidRPr="00C148DF">
        <w:rPr>
          <w:rFonts w:ascii="Times New Roman" w:hAnsi="Times New Roman" w:cs="Times New Roman"/>
          <w:b/>
          <w:sz w:val="24"/>
          <w:szCs w:val="24"/>
        </w:rPr>
        <w:t xml:space="preserve">Obr. 1.7  </w:t>
      </w:r>
      <w:r w:rsidRPr="00C148DF">
        <w:rPr>
          <w:rFonts w:ascii="Times New Roman" w:hAnsi="Times New Roman" w:cs="Times New Roman"/>
          <w:sz w:val="24"/>
          <w:szCs w:val="24"/>
        </w:rPr>
        <w:t xml:space="preserve">Ilustračné zobrazenie kruhových tranzitných </w:t>
      </w:r>
    </w:p>
    <w:p w14:paraId="005E7C2C" w14:textId="77777777" w:rsidR="00B27340" w:rsidRPr="00C148DF" w:rsidRDefault="00B27340" w:rsidP="00B27340">
      <w:pPr>
        <w:spacing w:after="120"/>
        <w:jc w:val="center"/>
        <w:rPr>
          <w:rFonts w:ascii="Times New Roman" w:hAnsi="Times New Roman" w:cs="Times New Roman"/>
          <w:sz w:val="24"/>
          <w:szCs w:val="24"/>
        </w:rPr>
      </w:pPr>
      <w:r w:rsidRPr="00C148DF">
        <w:rPr>
          <w:rFonts w:ascii="Times New Roman" w:hAnsi="Times New Roman" w:cs="Times New Roman"/>
          <w:sz w:val="24"/>
          <w:szCs w:val="24"/>
        </w:rPr>
        <w:t>tokov v regióne CCE</w:t>
      </w:r>
    </w:p>
    <w:p w14:paraId="43CE58A9" w14:textId="77777777" w:rsidR="00B27340" w:rsidRPr="00C148DF" w:rsidRDefault="00B27340" w:rsidP="00DE273F">
      <w:pPr>
        <w:spacing w:before="120" w:after="120"/>
        <w:jc w:val="both"/>
        <w:rPr>
          <w:rFonts w:ascii="Times New Roman" w:hAnsi="Times New Roman" w:cs="Times New Roman"/>
          <w:sz w:val="24"/>
          <w:szCs w:val="24"/>
        </w:rPr>
      </w:pPr>
      <w:r w:rsidRPr="00C148DF">
        <w:rPr>
          <w:rFonts w:ascii="Times New Roman" w:hAnsi="Times New Roman" w:cs="Times New Roman"/>
          <w:sz w:val="24"/>
          <w:szCs w:val="24"/>
        </w:rPr>
        <w:t xml:space="preserve">Dobrým koncepčným rozvojovým krokom ohľadom znižovania tranzitných tokov je tiež dlhodobo avizované posilňovanie vnútornej </w:t>
      </w:r>
      <w:r w:rsidRPr="00C148DF">
        <w:rPr>
          <w:rFonts w:ascii="Times New Roman" w:hAnsi="Times New Roman" w:cs="Times New Roman"/>
          <w:color w:val="000000" w:themeColor="text1"/>
          <w:sz w:val="24"/>
          <w:szCs w:val="24"/>
        </w:rPr>
        <w:t xml:space="preserve">nemeckej </w:t>
      </w:r>
      <w:r w:rsidRPr="00C148DF">
        <w:rPr>
          <w:rFonts w:ascii="Times New Roman" w:hAnsi="Times New Roman" w:cs="Times New Roman"/>
          <w:sz w:val="24"/>
          <w:szCs w:val="24"/>
        </w:rPr>
        <w:t>PS výstavbou nových 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vedení, čo by prispelo k eliminácii kruhových, resp. tranzitných tokov elektriny, ktoré ohrozujú bezpečnosť prevádzky okolitých PS. V konečnom dôsledku by sa objemy a smer reálnych tokov elektriny (na obrázku zobrazené červenou farbou) mali výrazne priblížiť obchodným tokom elektriny (zobrazené tmavosivou farbou).</w:t>
      </w:r>
    </w:p>
    <w:p w14:paraId="5E2C1978" w14:textId="77777777" w:rsidR="00B27340" w:rsidRPr="00DE273F" w:rsidRDefault="00B27340" w:rsidP="005F0557">
      <w:pPr>
        <w:pStyle w:val="Nadpis2"/>
        <w:numPr>
          <w:ilvl w:val="1"/>
          <w:numId w:val="12"/>
        </w:numPr>
        <w:spacing w:before="240" w:after="120" w:line="259" w:lineRule="auto"/>
        <w:ind w:left="578" w:hanging="578"/>
        <w:jc w:val="both"/>
        <w:rPr>
          <w:rFonts w:ascii="Times New Roman" w:hAnsi="Times New Roman" w:cs="Times New Roman"/>
          <w:b/>
          <w:color w:val="000000" w:themeColor="text1"/>
          <w:sz w:val="24"/>
          <w:szCs w:val="24"/>
        </w:rPr>
      </w:pPr>
      <w:bookmarkStart w:id="6" w:name="_Toc46594163"/>
      <w:r w:rsidRPr="00DE273F">
        <w:rPr>
          <w:rFonts w:ascii="Times New Roman" w:hAnsi="Times New Roman" w:cs="Times New Roman"/>
          <w:b/>
          <w:color w:val="000000" w:themeColor="text1"/>
          <w:sz w:val="24"/>
          <w:szCs w:val="24"/>
        </w:rPr>
        <w:t>Regulácia sústavy</w:t>
      </w:r>
      <w:bookmarkEnd w:id="6"/>
    </w:p>
    <w:p w14:paraId="5CDA0328" w14:textId="77777777" w:rsidR="00B27340" w:rsidRPr="00C148DF" w:rsidRDefault="00B27340" w:rsidP="00945E80">
      <w:pPr>
        <w:pStyle w:val="Zkladntext3"/>
        <w:spacing w:before="120" w:line="259" w:lineRule="auto"/>
        <w:jc w:val="both"/>
        <w:rPr>
          <w:rFonts w:ascii="Times New Roman" w:hAnsi="Times New Roman" w:cs="Times New Roman"/>
          <w:sz w:val="24"/>
          <w:szCs w:val="24"/>
        </w:rPr>
      </w:pPr>
      <w:r w:rsidRPr="00C148DF">
        <w:rPr>
          <w:rFonts w:ascii="Times New Roman" w:hAnsi="Times New Roman" w:cs="Times New Roman"/>
          <w:sz w:val="24"/>
          <w:szCs w:val="24"/>
        </w:rPr>
        <w:t>Pre spoľahlivé a bezpečné prevádzkovanie ES SR je, okrem iného, potrebné v každom časovom okamihu zabezpečiť rovnováhu medzi spotrebou, výrobou elektriny a plánovanými cezhraničnými výmenami, k čomu elektroenergetický dispečing prevádzkovateľa PS využíva podporné služby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w:t>
      </w:r>
    </w:p>
    <w:p w14:paraId="32B80B52" w14:textId="77777777" w:rsidR="00B27340" w:rsidRPr="00C148DF" w:rsidRDefault="00B27340" w:rsidP="00945E80">
      <w:pPr>
        <w:pStyle w:val="Zkladntext3"/>
        <w:spacing w:line="259" w:lineRule="auto"/>
        <w:jc w:val="both"/>
        <w:rPr>
          <w:rFonts w:ascii="Times New Roman" w:hAnsi="Times New Roman" w:cs="Times New Roman"/>
          <w:sz w:val="24"/>
          <w:szCs w:val="24"/>
        </w:rPr>
      </w:pPr>
      <w:r w:rsidRPr="00C148DF">
        <w:rPr>
          <w:rFonts w:ascii="Times New Roman" w:hAnsi="Times New Roman" w:cs="Times New Roman"/>
          <w:sz w:val="24"/>
          <w:szCs w:val="24"/>
        </w:rPr>
        <w:t>Pri dodržiavaní vyrovnanej výkonovej bilancie sa aj v roku 2019 v menšom rozsahu opakovali javy z roku 2017 a 2018, ktoré nastávali pri vyšších cenách za elektrinu ako za odchýlku – vedome spôsobená odchýlka. Príčinou bola zmena spôsobu stanovenia ceny za odchýlku.</w:t>
      </w:r>
    </w:p>
    <w:p w14:paraId="599710F2" w14:textId="77777777" w:rsidR="00B27340" w:rsidRPr="00C148DF" w:rsidRDefault="00B27340" w:rsidP="002C126C">
      <w:pPr>
        <w:pStyle w:val="Zkladntext3"/>
        <w:spacing w:line="259" w:lineRule="auto"/>
        <w:jc w:val="both"/>
        <w:rPr>
          <w:rFonts w:ascii="Times New Roman" w:hAnsi="Times New Roman" w:cs="Times New Roman"/>
          <w:sz w:val="24"/>
          <w:szCs w:val="24"/>
        </w:rPr>
      </w:pPr>
      <w:r w:rsidRPr="00C148DF">
        <w:rPr>
          <w:rFonts w:ascii="Times New Roman" w:hAnsi="Times New Roman" w:cs="Times New Roman"/>
          <w:sz w:val="24"/>
          <w:szCs w:val="24"/>
        </w:rPr>
        <w:t>V roku 2018 začali v prepojenej sústave ENTSO-E vznikať väčšie odchýlky frekvencie, (viac ako ± 100 </w:t>
      </w:r>
      <w:proofErr w:type="spellStart"/>
      <w:r w:rsidRPr="00C148DF">
        <w:rPr>
          <w:rFonts w:ascii="Times New Roman" w:hAnsi="Times New Roman" w:cs="Times New Roman"/>
          <w:sz w:val="24"/>
          <w:szCs w:val="24"/>
        </w:rPr>
        <w:t>mHz</w:t>
      </w:r>
      <w:proofErr w:type="spellEnd"/>
      <w:r w:rsidRPr="00C148DF">
        <w:rPr>
          <w:rFonts w:ascii="Times New Roman" w:hAnsi="Times New Roman" w:cs="Times New Roman"/>
          <w:sz w:val="24"/>
          <w:szCs w:val="24"/>
        </w:rPr>
        <w:t xml:space="preserve">), ktoré tiež súvisia s cenami za elektrinu v kombinácii s ekonomickým správaním sa prevádzkovateľov výkonovo veľkých zariadení na výrobu elektriny s rýchlou zmenou výkonu. Tieto odchýlky pokračovali aj v priebehu roka 2019. Zatiaľ najvýraznejší pokles frekvencie bol zaznamenaný dňa 10.01.2019 v čase 21:02:08, kedy frekvencia dosiahla úroveň 49,806 Hz. Príčinou bola zmena plánovanej výroby niektorých zariadení na výrobu elektriny v Európe na </w:t>
      </w:r>
      <w:r w:rsidRPr="00C148DF">
        <w:rPr>
          <w:rFonts w:ascii="Times New Roman" w:hAnsi="Times New Roman" w:cs="Times New Roman"/>
          <w:sz w:val="24"/>
          <w:szCs w:val="24"/>
        </w:rPr>
        <w:lastRenderedPageBreak/>
        <w:t>prelome 21. a 22. hodiny a technickou poruchou merania na profile AT/DE. Výrazný nárast frekvencie bol zaznamenaný aj dňa 24.01.2019 na úrovni 50,175 Hz.</w:t>
      </w:r>
    </w:p>
    <w:p w14:paraId="1371EAAF" w14:textId="77777777" w:rsidR="00B27340" w:rsidRPr="00C148DF" w:rsidRDefault="00B27340" w:rsidP="002C126C">
      <w:pPr>
        <w:pStyle w:val="Zkladntext3"/>
        <w:spacing w:line="259" w:lineRule="auto"/>
        <w:jc w:val="both"/>
        <w:rPr>
          <w:rFonts w:ascii="Times New Roman" w:hAnsi="Times New Roman" w:cs="Times New Roman"/>
          <w:sz w:val="24"/>
          <w:szCs w:val="24"/>
        </w:rPr>
      </w:pPr>
      <w:r w:rsidRPr="00C148DF">
        <w:rPr>
          <w:rFonts w:ascii="Times New Roman" w:hAnsi="Times New Roman" w:cs="Times New Roman"/>
          <w:sz w:val="24"/>
          <w:szCs w:val="24"/>
        </w:rPr>
        <w:t>Výrazné poklesy frekvencie boli zaznamenané najmä vo večerných hodinách na zlome 21:00 a 22:00. Tieto poklesy súvisia s režimom prevádzky PVE (odstavovanie väčšej časti z výroby) a súčasným poklesom zaťaženia v celej prepojenej európskej elektrizačnej sústave. K nárastu frekvencie dochádza najmä na zlome 6:00 hodiny, čo má súvis s rýchlym nábehom výrobní elektriny na veľký výkon (PVE, PPC), s vypínaním čerpania PVE a súčasným nárastom ostatného zaťaženia sústavy. Odstavovanie a nábehy zariadení na výrobu elektriny úzko súvisia s obchodovaním na trhoch s elektrinou, nakoľko v priebehu dňa sú ceny za dodávku elektriny vyššie ako v nočných hodinách.</w:t>
      </w:r>
    </w:p>
    <w:p w14:paraId="1444FC17" w14:textId="77777777" w:rsidR="00B27340" w:rsidRPr="00C148DF" w:rsidRDefault="00B27340" w:rsidP="002C126C">
      <w:pPr>
        <w:pStyle w:val="Zkladntext3"/>
        <w:spacing w:line="259" w:lineRule="auto"/>
        <w:jc w:val="both"/>
        <w:rPr>
          <w:rFonts w:ascii="Times New Roman" w:hAnsi="Times New Roman" w:cs="Times New Roman"/>
          <w:iCs/>
          <w:color w:val="000000" w:themeColor="text1"/>
          <w:sz w:val="24"/>
          <w:szCs w:val="24"/>
        </w:rPr>
      </w:pPr>
      <w:r w:rsidRPr="00C148DF">
        <w:rPr>
          <w:rFonts w:ascii="Times New Roman" w:hAnsi="Times New Roman" w:cs="Times New Roman"/>
          <w:sz w:val="24"/>
          <w:szCs w:val="24"/>
        </w:rPr>
        <w:t xml:space="preserve">V prípade dosiahnutia frekvencie 49,8 Hz alebo 50,2 Hz (t.j. pri odchýlke ± 200 </w:t>
      </w:r>
      <w:proofErr w:type="spellStart"/>
      <w:r w:rsidRPr="00C148DF">
        <w:rPr>
          <w:rFonts w:ascii="Times New Roman" w:hAnsi="Times New Roman" w:cs="Times New Roman"/>
          <w:sz w:val="24"/>
          <w:szCs w:val="24"/>
        </w:rPr>
        <w:t>mHz</w:t>
      </w:r>
      <w:proofErr w:type="spellEnd"/>
      <w:r w:rsidRPr="00C148DF">
        <w:rPr>
          <w:rFonts w:ascii="Times New Roman" w:hAnsi="Times New Roman" w:cs="Times New Roman"/>
          <w:iCs/>
          <w:color w:val="000000" w:themeColor="text1"/>
          <w:sz w:val="24"/>
          <w:szCs w:val="24"/>
        </w:rPr>
        <w:t xml:space="preserve"> od 50 Hz) </w:t>
      </w:r>
      <w:r w:rsidRPr="00C148DF">
        <w:rPr>
          <w:rFonts w:ascii="Times New Roman" w:hAnsi="Times New Roman" w:cs="Times New Roman"/>
          <w:sz w:val="24"/>
          <w:szCs w:val="24"/>
        </w:rPr>
        <w:t>by došlo k aktivácii frekvenčného obranného plánu t.j. zariadenia</w:t>
      </w:r>
      <w:r w:rsidRPr="00C148DF">
        <w:rPr>
          <w:rFonts w:ascii="Times New Roman" w:hAnsi="Times New Roman" w:cs="Times New Roman"/>
          <w:iCs/>
          <w:color w:val="000000" w:themeColor="text1"/>
          <w:sz w:val="24"/>
          <w:szCs w:val="24"/>
        </w:rPr>
        <w:t xml:space="preserve"> na výrobu elektriny by prešli do špeciálnych prevádzkových stavov (otáčková regulácia, automatické alebo manuálne znižovanie/zvyšovanie výkonu a pod.).</w:t>
      </w:r>
    </w:p>
    <w:p w14:paraId="3587C0E5" w14:textId="77777777" w:rsidR="00B27340" w:rsidRPr="00C148DF" w:rsidRDefault="00B27340" w:rsidP="002C126C">
      <w:pPr>
        <w:pStyle w:val="Zkladntext3"/>
        <w:spacing w:line="259" w:lineRule="auto"/>
        <w:jc w:val="both"/>
        <w:rPr>
          <w:rFonts w:ascii="Times New Roman" w:hAnsi="Times New Roman" w:cs="Times New Roman"/>
          <w:sz w:val="24"/>
          <w:szCs w:val="24"/>
        </w:rPr>
      </w:pPr>
      <w:r w:rsidRPr="00C148DF">
        <w:rPr>
          <w:rFonts w:ascii="Times New Roman" w:hAnsi="Times New Roman" w:cs="Times New Roman"/>
          <w:sz w:val="24"/>
          <w:szCs w:val="24"/>
        </w:rPr>
        <w:t xml:space="preserve">SEPS, tak ako väčšina PPS v Európe, prijíma technické opatrenia na zmiernenie príspevku ES SR k zmenám frekvencie. V zmysle Nariadenia Komisie (EÚ) 2017/1485 čl. 137 ods. 4 implementovala SEPS k 15.01.2020 </w:t>
      </w:r>
      <w:proofErr w:type="spellStart"/>
      <w:r w:rsidRPr="00C148DF">
        <w:rPr>
          <w:rFonts w:ascii="Times New Roman" w:hAnsi="Times New Roman" w:cs="Times New Roman"/>
          <w:sz w:val="24"/>
          <w:szCs w:val="24"/>
        </w:rPr>
        <w:t>ÚRSO-m</w:t>
      </w:r>
      <w:proofErr w:type="spellEnd"/>
      <w:r w:rsidRPr="00C148DF">
        <w:rPr>
          <w:rFonts w:ascii="Times New Roman" w:hAnsi="Times New Roman" w:cs="Times New Roman"/>
          <w:sz w:val="24"/>
          <w:szCs w:val="24"/>
        </w:rPr>
        <w:t xml:space="preserve"> schválené opatrenia (13.03.2019) do Technických podmienok prístupu a pripojenia, pravidiel prevádzkovania prenosovej sústavy, ktoré dovoľujú vykonávať len určité lineárne zmeny činného výkonu. V zásade ide o obmedzenie zmeny činného výkonu na určitú hodnotu s podmienkou časového rozloženia vykonania tejto zmeny. Ďalším opatrením bolo implementovanie opatrení na zníženie odchýlky vyžadovaním zmien vo výrobe alebo spotrebe jednotiek na výrobu elektriny alebo odberných jednotiek v zmysle čl. 152 ods. 16 Nariadenia Komisie (EÚ) 2017/1485. Dotknuté subjekty v ES SR však už od 06/2018 začali aplikovať tieto technické opatrenia v praxi, a vykonávali svoje zmeny činného výkonu na zlome hodín v zmysle týchto opatrení.</w:t>
      </w:r>
    </w:p>
    <w:p w14:paraId="33FFD00F" w14:textId="77777777" w:rsidR="00B27340" w:rsidRPr="002C126C" w:rsidRDefault="00B27340" w:rsidP="002C126C">
      <w:pPr>
        <w:pStyle w:val="Nadpis2"/>
        <w:numPr>
          <w:ilvl w:val="1"/>
          <w:numId w:val="12"/>
        </w:numPr>
        <w:spacing w:before="240" w:after="120" w:line="259" w:lineRule="auto"/>
        <w:ind w:left="578" w:hanging="578"/>
        <w:jc w:val="both"/>
        <w:rPr>
          <w:rFonts w:ascii="Times New Roman" w:hAnsi="Times New Roman" w:cs="Times New Roman"/>
          <w:b/>
          <w:iCs/>
          <w:color w:val="000000" w:themeColor="text1"/>
          <w:sz w:val="24"/>
          <w:szCs w:val="24"/>
        </w:rPr>
      </w:pPr>
      <w:bookmarkStart w:id="7" w:name="_Toc46594164"/>
      <w:r w:rsidRPr="002C126C">
        <w:rPr>
          <w:rFonts w:ascii="Times New Roman" w:hAnsi="Times New Roman" w:cs="Times New Roman"/>
          <w:b/>
          <w:color w:val="000000" w:themeColor="text1"/>
          <w:sz w:val="24"/>
          <w:szCs w:val="24"/>
        </w:rPr>
        <w:t>Realizácia investičných zámerov prevádzkovateľa prenosovej sústavy v roku 2019</w:t>
      </w:r>
      <w:bookmarkEnd w:id="7"/>
    </w:p>
    <w:p w14:paraId="77DD9222" w14:textId="77777777" w:rsidR="00B27340" w:rsidRPr="00C148DF" w:rsidRDefault="00B27340" w:rsidP="002C126C">
      <w:pPr>
        <w:jc w:val="both"/>
        <w:rPr>
          <w:rFonts w:ascii="Times New Roman" w:hAnsi="Times New Roman" w:cs="Times New Roman"/>
          <w:sz w:val="24"/>
          <w:szCs w:val="24"/>
        </w:rPr>
      </w:pPr>
      <w:r w:rsidRPr="00C148DF">
        <w:rPr>
          <w:rFonts w:ascii="Times New Roman" w:hAnsi="Times New Roman" w:cs="Times New Roman"/>
          <w:sz w:val="24"/>
          <w:szCs w:val="24"/>
        </w:rPr>
        <w:t>V roku 2019 začala výstavba významných medzinárodných projektov cezhraničných prepojení prenosových sústav Slovenska a Maďarska, projektov spoločného záujmu podľa Nariadenia európskeho parlamentu a rady (EÚ) č. 347/2013, a to „Vedenie 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Gabčíkovo – št. hr. SK/HU – Veľký Ďur“ a „Vedenie 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Rimavská Sobota – št. hr. SK/HU“.</w:t>
      </w:r>
    </w:p>
    <w:p w14:paraId="0A3C1585" w14:textId="77777777" w:rsidR="00B27340" w:rsidRPr="00C148DF" w:rsidRDefault="00B27340" w:rsidP="002C126C">
      <w:pPr>
        <w:pStyle w:val="Default"/>
        <w:autoSpaceDE/>
        <w:autoSpaceDN/>
        <w:adjustRightInd/>
        <w:spacing w:after="120" w:line="259" w:lineRule="auto"/>
        <w:jc w:val="both"/>
      </w:pPr>
      <w:r w:rsidRPr="00C148DF">
        <w:t>Spomedzi ďalších významných projektov prevádzkovateľa PS je potrebné spomenúť aj prebiehajúce práce na projektoch „Transformácia 400/110 </w:t>
      </w:r>
      <w:proofErr w:type="spellStart"/>
      <w:r w:rsidRPr="00C148DF">
        <w:t>kV</w:t>
      </w:r>
      <w:proofErr w:type="spellEnd"/>
      <w:r w:rsidRPr="00C148DF">
        <w:t xml:space="preserve"> Bystričany“, „Diaľkové riadenie a výmena T404 v </w:t>
      </w:r>
      <w:proofErr w:type="spellStart"/>
      <w:r w:rsidRPr="00C148DF">
        <w:t>ESt</w:t>
      </w:r>
      <w:proofErr w:type="spellEnd"/>
      <w:r w:rsidRPr="00C148DF">
        <w:t xml:space="preserve"> Podunajské Biskupice“ a „Výmena transformátorov T401, T402 a diaľkové riadenie v </w:t>
      </w:r>
      <w:proofErr w:type="spellStart"/>
      <w:r w:rsidRPr="00C148DF">
        <w:t>ESt</w:t>
      </w:r>
      <w:proofErr w:type="spellEnd"/>
      <w:r w:rsidRPr="00C148DF">
        <w:t xml:space="preserve"> Spišská Nová Ves“. Prebieha fáza projektových a inžinierskych prác na projekte súbor stavieb „Transformácia 400/110 </w:t>
      </w:r>
      <w:proofErr w:type="spellStart"/>
      <w:r w:rsidRPr="00C148DF">
        <w:t>kV</w:t>
      </w:r>
      <w:proofErr w:type="spellEnd"/>
      <w:r w:rsidRPr="00C148DF">
        <w:t xml:space="preserve"> Senica“, ktorý je spojený s prechodom </w:t>
      </w:r>
      <w:proofErr w:type="spellStart"/>
      <w:r w:rsidRPr="00C148DF">
        <w:t>ESt</w:t>
      </w:r>
      <w:proofErr w:type="spellEnd"/>
      <w:r w:rsidRPr="00C148DF">
        <w:t xml:space="preserve"> Senica z existujúcej napäťovej hladiny 220 </w:t>
      </w:r>
      <w:proofErr w:type="spellStart"/>
      <w:r w:rsidRPr="00C148DF">
        <w:t>kV</w:t>
      </w:r>
      <w:proofErr w:type="spellEnd"/>
      <w:r w:rsidRPr="00C148DF">
        <w:t xml:space="preserve"> na 400 </w:t>
      </w:r>
      <w:proofErr w:type="spellStart"/>
      <w:r w:rsidRPr="00C148DF">
        <w:t>kV</w:t>
      </w:r>
      <w:proofErr w:type="spellEnd"/>
      <w:r w:rsidRPr="00C148DF">
        <w:t xml:space="preserve">. Z pohľadu </w:t>
      </w:r>
      <w:proofErr w:type="spellStart"/>
      <w:r w:rsidRPr="00C148DF">
        <w:t>navyšovania</w:t>
      </w:r>
      <w:proofErr w:type="spellEnd"/>
      <w:r w:rsidRPr="00C148DF">
        <w:t xml:space="preserve"> kompenzačného výkonu v PS SR je projekt výstavby kompenzačných tlmiviek v </w:t>
      </w:r>
      <w:proofErr w:type="spellStart"/>
      <w:r w:rsidRPr="00C148DF">
        <w:t>ESt</w:t>
      </w:r>
      <w:proofErr w:type="spellEnd"/>
      <w:r w:rsidRPr="00C148DF">
        <w:t xml:space="preserve"> Liptovská Mara </w:t>
      </w:r>
      <w:r w:rsidRPr="00C148DF">
        <w:rPr>
          <w:color w:val="auto"/>
        </w:rPr>
        <w:t>(2x45 </w:t>
      </w:r>
      <w:proofErr w:type="spellStart"/>
      <w:r w:rsidRPr="00C148DF">
        <w:rPr>
          <w:color w:val="auto"/>
        </w:rPr>
        <w:t>MVAr</w:t>
      </w:r>
      <w:proofErr w:type="spellEnd"/>
      <w:r w:rsidRPr="00C148DF">
        <w:rPr>
          <w:color w:val="auto"/>
        </w:rPr>
        <w:t>) v príprave realizácie a projekt „Kompenzácia v </w:t>
      </w:r>
      <w:proofErr w:type="spellStart"/>
      <w:r w:rsidRPr="00C148DF">
        <w:rPr>
          <w:color w:val="auto"/>
        </w:rPr>
        <w:t>ESt</w:t>
      </w:r>
      <w:proofErr w:type="spellEnd"/>
      <w:r w:rsidRPr="00C148DF">
        <w:rPr>
          <w:color w:val="auto"/>
        </w:rPr>
        <w:t xml:space="preserve"> Varín“ vo fáze výberu projektanta. </w:t>
      </w:r>
      <w:r w:rsidRPr="00C148DF">
        <w:t xml:space="preserve">V súčasnosti prebieha v spolupráci so SSD príprava projektu „Transformácia 400/110 </w:t>
      </w:r>
      <w:proofErr w:type="spellStart"/>
      <w:r w:rsidRPr="00C148DF">
        <w:t>kV</w:t>
      </w:r>
      <w:proofErr w:type="spellEnd"/>
      <w:r w:rsidRPr="00C148DF">
        <w:t xml:space="preserve"> v novej </w:t>
      </w:r>
      <w:proofErr w:type="spellStart"/>
      <w:r w:rsidRPr="00C148DF">
        <w:t>ESt</w:t>
      </w:r>
      <w:proofErr w:type="spellEnd"/>
      <w:r w:rsidRPr="00C148DF">
        <w:t xml:space="preserve"> Ladce“ pre zabezpečenie spoľahlivého zásobovania dotknutého regiónu. Rozvodňa 220 </w:t>
      </w:r>
      <w:proofErr w:type="spellStart"/>
      <w:r w:rsidRPr="00C148DF">
        <w:t>kV</w:t>
      </w:r>
      <w:proofErr w:type="spellEnd"/>
      <w:r w:rsidRPr="00C148DF">
        <w:t xml:space="preserve"> v </w:t>
      </w:r>
      <w:proofErr w:type="spellStart"/>
      <w:r w:rsidRPr="00C148DF">
        <w:t>ESt</w:t>
      </w:r>
      <w:proofErr w:type="spellEnd"/>
      <w:r w:rsidRPr="00C148DF">
        <w:t xml:space="preserve"> Sučany je v realizácii jej obnovy, a to s cieľom udržať spoľahlivé napájanie odberateľov OFZ a SSD.</w:t>
      </w:r>
    </w:p>
    <w:p w14:paraId="3E1249D6" w14:textId="77777777" w:rsidR="00B27340" w:rsidRPr="00C148DF" w:rsidRDefault="00B27340" w:rsidP="002C126C">
      <w:pPr>
        <w:jc w:val="both"/>
        <w:rPr>
          <w:rFonts w:ascii="Times New Roman" w:hAnsi="Times New Roman" w:cs="Times New Roman"/>
          <w:sz w:val="24"/>
          <w:szCs w:val="24"/>
        </w:rPr>
      </w:pPr>
      <w:r w:rsidRPr="00C148DF">
        <w:rPr>
          <w:rFonts w:ascii="Times New Roman" w:hAnsi="Times New Roman" w:cs="Times New Roman"/>
          <w:sz w:val="24"/>
          <w:szCs w:val="24"/>
        </w:rPr>
        <w:t>Významné investičné projekty prebiehajú kontinuálne v oblastiach s krátkym životným cyklom, ako sú obnova sekundárnej techniky, zabezpečenie ekologických stavieb, inovácia riadiaco-</w:t>
      </w:r>
      <w:r w:rsidRPr="00C148DF">
        <w:rPr>
          <w:rFonts w:ascii="Times New Roman" w:hAnsi="Times New Roman" w:cs="Times New Roman"/>
          <w:sz w:val="24"/>
          <w:szCs w:val="24"/>
        </w:rPr>
        <w:lastRenderedPageBreak/>
        <w:t xml:space="preserve">informačného systému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inovácia informačného systému obchodného merania a obchodných systémov, inovácia automatizovaného systému dispečerského riadenia, inovácia informačno-komunikačných technológií a implementácia bezpečnostných systémov. </w:t>
      </w:r>
    </w:p>
    <w:p w14:paraId="180D94A1" w14:textId="5746A596" w:rsidR="00B27340" w:rsidRPr="00C148DF" w:rsidRDefault="00B27340" w:rsidP="002C126C">
      <w:pPr>
        <w:jc w:val="both"/>
        <w:rPr>
          <w:rFonts w:ascii="Times New Roman" w:hAnsi="Times New Roman" w:cs="Times New Roman"/>
          <w:b/>
          <w:sz w:val="24"/>
          <w:szCs w:val="24"/>
        </w:rPr>
      </w:pPr>
      <w:r w:rsidRPr="00C148DF">
        <w:rPr>
          <w:rFonts w:ascii="Times New Roman" w:hAnsi="Times New Roman" w:cs="Times New Roman"/>
          <w:sz w:val="24"/>
          <w:szCs w:val="24"/>
        </w:rPr>
        <w:t>Podrobnejší popis týchto, ale aj ďalších investičných projektov SEPS, je dostupný v kapitole 4 Investičné zámery prevádzkovateľa prenosovej sústavy na nasledujúcich 10 rokov.</w:t>
      </w:r>
      <w:bookmarkStart w:id="8" w:name="_Toc46594165"/>
      <w:r w:rsidR="003A7062" w:rsidRPr="00C148DF">
        <w:rPr>
          <w:rFonts w:ascii="Times New Roman" w:hAnsi="Times New Roman" w:cs="Times New Roman"/>
          <w:sz w:val="24"/>
          <w:szCs w:val="24"/>
        </w:rPr>
        <w:br/>
      </w:r>
      <w:r w:rsidR="003A7062" w:rsidRPr="00C148DF">
        <w:rPr>
          <w:rFonts w:ascii="Times New Roman" w:hAnsi="Times New Roman" w:cs="Times New Roman"/>
          <w:sz w:val="24"/>
          <w:szCs w:val="24"/>
        </w:rPr>
        <w:br/>
      </w:r>
      <w:r w:rsidR="003A7062" w:rsidRPr="00C148DF">
        <w:rPr>
          <w:rFonts w:ascii="Times New Roman" w:hAnsi="Times New Roman" w:cs="Times New Roman"/>
          <w:sz w:val="24"/>
          <w:szCs w:val="24"/>
        </w:rPr>
        <w:br/>
      </w:r>
      <w:r w:rsidRPr="00C148DF">
        <w:rPr>
          <w:rFonts w:ascii="Times New Roman" w:hAnsi="Times New Roman" w:cs="Times New Roman"/>
          <w:b/>
          <w:sz w:val="24"/>
          <w:szCs w:val="24"/>
        </w:rPr>
        <w:t>Predpokladaný vývoj zásobovania elektrinou na nasledujúcich 5 rokov</w:t>
      </w:r>
      <w:bookmarkEnd w:id="8"/>
    </w:p>
    <w:p w14:paraId="5C0B981D" w14:textId="77777777" w:rsidR="00B27340" w:rsidRPr="00C148DF" w:rsidRDefault="00B27340" w:rsidP="002C126C">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Predpokladaný vývoj zásobovania elektrinou a perspektívy zabezpečenia dodávok elektriny v nasledujúcom období vychádzajú z predpokladov aktuálneho desaťročného plánu rozvoja prenosovej sústavy na roky 2020 až 2029, verejne dostupného na </w:t>
      </w:r>
      <w:r w:rsidRPr="00C148DF">
        <w:rPr>
          <w:rStyle w:val="Hypertextovprepojenie"/>
          <w:rFonts w:ascii="Times New Roman" w:hAnsi="Times New Roman" w:cs="Times New Roman"/>
          <w:iCs/>
          <w:sz w:val="24"/>
          <w:szCs w:val="24"/>
        </w:rPr>
        <w:t>webovom sídle</w:t>
      </w:r>
      <w:r w:rsidRPr="00C148DF">
        <w:rPr>
          <w:rFonts w:ascii="Times New Roman" w:hAnsi="Times New Roman" w:cs="Times New Roman"/>
          <w:iCs/>
          <w:sz w:val="24"/>
          <w:szCs w:val="24"/>
        </w:rPr>
        <w:t xml:space="preserve"> prevádzkovateľa prenosovej sústavy</w:t>
      </w:r>
      <w:r w:rsidRPr="00C148DF">
        <w:rPr>
          <w:rStyle w:val="Odkaznapoznmkupodiarou"/>
          <w:rFonts w:ascii="Times New Roman" w:hAnsi="Times New Roman" w:cs="Times New Roman"/>
          <w:iCs/>
          <w:sz w:val="24"/>
          <w:szCs w:val="24"/>
        </w:rPr>
        <w:footnoteReference w:id="2"/>
      </w:r>
      <w:r w:rsidRPr="00C148DF">
        <w:rPr>
          <w:rFonts w:ascii="Times New Roman" w:hAnsi="Times New Roman" w:cs="Times New Roman"/>
          <w:iCs/>
          <w:sz w:val="24"/>
          <w:szCs w:val="24"/>
        </w:rPr>
        <w:t xml:space="preserve">, a tiež so zohľadnením aktuálneho vývoja v sektore </w:t>
      </w:r>
      <w:proofErr w:type="spellStart"/>
      <w:r w:rsidRPr="00C148DF">
        <w:rPr>
          <w:rFonts w:ascii="Times New Roman" w:hAnsi="Times New Roman" w:cs="Times New Roman"/>
          <w:iCs/>
          <w:sz w:val="24"/>
          <w:szCs w:val="24"/>
        </w:rPr>
        <w:t>elektroenergetiky</w:t>
      </w:r>
      <w:proofErr w:type="spellEnd"/>
      <w:r w:rsidRPr="00C148DF">
        <w:rPr>
          <w:rFonts w:ascii="Times New Roman" w:hAnsi="Times New Roman" w:cs="Times New Roman"/>
          <w:iCs/>
          <w:sz w:val="24"/>
          <w:szCs w:val="24"/>
        </w:rPr>
        <w:t xml:space="preserve"> SR.</w:t>
      </w:r>
    </w:p>
    <w:p w14:paraId="43D77025" w14:textId="77777777" w:rsidR="00B27340" w:rsidRPr="00C148DF" w:rsidRDefault="00B27340" w:rsidP="002C126C">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Budúci vývoj v zásobovaní elektrinou budú ovplyvňovať najmä nasledovné predvídateľné faktory:</w:t>
      </w:r>
    </w:p>
    <w:p w14:paraId="3AF60C97" w14:textId="77777777" w:rsidR="00B27340" w:rsidRPr="00C148DF" w:rsidRDefault="00B27340" w:rsidP="002C126C">
      <w:pPr>
        <w:pStyle w:val="Zkladntext3"/>
        <w:numPr>
          <w:ilvl w:val="0"/>
          <w:numId w:val="10"/>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vývoj spotreby elektriny,</w:t>
      </w:r>
    </w:p>
    <w:p w14:paraId="0C4DCBD5" w14:textId="77777777" w:rsidR="00B27340" w:rsidRPr="00C148DF" w:rsidRDefault="00B27340" w:rsidP="002C126C">
      <w:pPr>
        <w:pStyle w:val="Zkladntext3"/>
        <w:numPr>
          <w:ilvl w:val="0"/>
          <w:numId w:val="10"/>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pripájanie nových kapacít na výrobu elektriny, ako aj vyraďovanie kapacít s ukončenou dobou životnosti,</w:t>
      </w:r>
    </w:p>
    <w:p w14:paraId="1F916F17" w14:textId="77777777" w:rsidR="00B27340" w:rsidRPr="00C148DF" w:rsidRDefault="00B27340" w:rsidP="002C126C">
      <w:pPr>
        <w:pStyle w:val="Zkladntext3"/>
        <w:numPr>
          <w:ilvl w:val="0"/>
          <w:numId w:val="10"/>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dostupnosť primárnych palív a ich cenový vývoj na svetových trhoch,</w:t>
      </w:r>
    </w:p>
    <w:p w14:paraId="295F8E7D" w14:textId="77777777" w:rsidR="00B27340" w:rsidRPr="00C148DF" w:rsidRDefault="00B27340" w:rsidP="002C126C">
      <w:pPr>
        <w:pStyle w:val="Zkladntext3"/>
        <w:numPr>
          <w:ilvl w:val="0"/>
          <w:numId w:val="10"/>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vývoj cien na trhu s elektrinou,</w:t>
      </w:r>
    </w:p>
    <w:p w14:paraId="51EA0FAD" w14:textId="77777777" w:rsidR="00B27340" w:rsidRPr="00C148DF" w:rsidRDefault="00B27340" w:rsidP="002C126C">
      <w:pPr>
        <w:pStyle w:val="Zkladntext3"/>
        <w:numPr>
          <w:ilvl w:val="0"/>
          <w:numId w:val="10"/>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vývoj cien v oblasti nových technológií na výrobu elektriny,</w:t>
      </w:r>
    </w:p>
    <w:p w14:paraId="1B683784" w14:textId="77777777" w:rsidR="00B27340" w:rsidRPr="00C148DF" w:rsidRDefault="00B27340" w:rsidP="002C126C">
      <w:pPr>
        <w:pStyle w:val="Zkladntext3"/>
        <w:numPr>
          <w:ilvl w:val="0"/>
          <w:numId w:val="10"/>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neistoty súvisiace s vývojom výšky poplatkov za emisie skleníkových plynov, predovšetkým CO</w:t>
      </w:r>
      <w:r w:rsidRPr="00C148DF">
        <w:rPr>
          <w:rFonts w:ascii="Times New Roman" w:hAnsi="Times New Roman" w:cs="Times New Roman"/>
          <w:iCs/>
          <w:sz w:val="24"/>
          <w:szCs w:val="24"/>
          <w:vertAlign w:val="subscript"/>
        </w:rPr>
        <w:t>2</w:t>
      </w:r>
      <w:r w:rsidRPr="00C148DF">
        <w:rPr>
          <w:rFonts w:ascii="Times New Roman" w:hAnsi="Times New Roman" w:cs="Times New Roman"/>
          <w:iCs/>
          <w:sz w:val="24"/>
          <w:szCs w:val="24"/>
        </w:rPr>
        <w:t>,</w:t>
      </w:r>
    </w:p>
    <w:p w14:paraId="08268A5D" w14:textId="77777777" w:rsidR="00B27340" w:rsidRPr="00C148DF" w:rsidRDefault="00B27340" w:rsidP="002C126C">
      <w:pPr>
        <w:pStyle w:val="Zkladntext3"/>
        <w:numPr>
          <w:ilvl w:val="0"/>
          <w:numId w:val="10"/>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doba návratnosti vložených investičných prostriedkov pri realizácii projektov v </w:t>
      </w:r>
      <w:proofErr w:type="spellStart"/>
      <w:r w:rsidRPr="00C148DF">
        <w:rPr>
          <w:rFonts w:ascii="Times New Roman" w:hAnsi="Times New Roman" w:cs="Times New Roman"/>
          <w:iCs/>
          <w:sz w:val="24"/>
          <w:szCs w:val="24"/>
        </w:rPr>
        <w:t>elektroenergetike</w:t>
      </w:r>
      <w:proofErr w:type="spellEnd"/>
      <w:r w:rsidRPr="00C148DF">
        <w:rPr>
          <w:rFonts w:ascii="Times New Roman" w:hAnsi="Times New Roman" w:cs="Times New Roman"/>
          <w:iCs/>
          <w:sz w:val="24"/>
          <w:szCs w:val="24"/>
        </w:rPr>
        <w:t>,</w:t>
      </w:r>
    </w:p>
    <w:p w14:paraId="4996C93B" w14:textId="77777777" w:rsidR="00B27340" w:rsidRPr="00C148DF" w:rsidRDefault="00B27340" w:rsidP="002C126C">
      <w:pPr>
        <w:pStyle w:val="Zkladntext3"/>
        <w:numPr>
          <w:ilvl w:val="0"/>
          <w:numId w:val="10"/>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stabilita podnikateľského prostredia a regulačného rámca,</w:t>
      </w:r>
    </w:p>
    <w:p w14:paraId="38B2C628" w14:textId="77777777" w:rsidR="00B27340" w:rsidRPr="00C148DF" w:rsidRDefault="00B27340" w:rsidP="002C126C">
      <w:pPr>
        <w:pStyle w:val="Zkladntext3"/>
        <w:numPr>
          <w:ilvl w:val="0"/>
          <w:numId w:val="10"/>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tlak na zvyšovanie podielu OZE pre dodržanie dekarbonizačných cieľov SR, predovšetkým zvýšeným podielom VTE a FVE na pokrývaní diagramu zaťaženia, vyplývajúci zo stanovených hodnôt inštalovaného výkonu OZE v INECP SR,</w:t>
      </w:r>
    </w:p>
    <w:p w14:paraId="3D68D1AF" w14:textId="77777777" w:rsidR="00B27340" w:rsidRPr="00C148DF" w:rsidRDefault="00B27340" w:rsidP="002C126C">
      <w:pPr>
        <w:pStyle w:val="Zkladntext3"/>
        <w:numPr>
          <w:ilvl w:val="0"/>
          <w:numId w:val="10"/>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vývoj stratégie energetickej politiky v EÚ, resp. v SR, a jej premietnutie do novej legislatívy, prípadne úpravy existujúcej legislatívy,</w:t>
      </w:r>
    </w:p>
    <w:p w14:paraId="794108A7" w14:textId="77777777" w:rsidR="00B27340" w:rsidRPr="00C148DF" w:rsidRDefault="00B27340" w:rsidP="002C126C">
      <w:pPr>
        <w:pStyle w:val="Zkladntext3"/>
        <w:numPr>
          <w:ilvl w:val="0"/>
          <w:numId w:val="10"/>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liberalizácia trhu s elektrinou, zavedenie kapacitných mechanizmov, stanovenie úrovne zdrojovej primeranosti členského štátu a EÚ, zavedenie jednotného celoeurópskeho trhu s elektrinou a podpornými službami a pod.</w:t>
      </w:r>
    </w:p>
    <w:p w14:paraId="4EF5E5F4" w14:textId="77777777" w:rsidR="00B27340" w:rsidRPr="002C126C" w:rsidRDefault="00B27340" w:rsidP="002C126C">
      <w:pPr>
        <w:pStyle w:val="Nadpis2"/>
        <w:numPr>
          <w:ilvl w:val="1"/>
          <w:numId w:val="12"/>
        </w:numPr>
        <w:spacing w:before="240" w:after="120" w:line="259" w:lineRule="auto"/>
        <w:ind w:left="578" w:hanging="578"/>
        <w:jc w:val="both"/>
        <w:rPr>
          <w:rFonts w:ascii="Times New Roman" w:hAnsi="Times New Roman" w:cs="Times New Roman"/>
          <w:b/>
          <w:color w:val="000000" w:themeColor="text1"/>
          <w:sz w:val="24"/>
          <w:szCs w:val="24"/>
        </w:rPr>
      </w:pPr>
      <w:bookmarkStart w:id="9" w:name="_Toc421519893"/>
      <w:bookmarkStart w:id="10" w:name="_Toc455733459"/>
      <w:bookmarkStart w:id="11" w:name="_Toc46594166"/>
      <w:r w:rsidRPr="002C126C">
        <w:rPr>
          <w:rFonts w:ascii="Times New Roman" w:hAnsi="Times New Roman" w:cs="Times New Roman"/>
          <w:b/>
          <w:color w:val="000000" w:themeColor="text1"/>
          <w:sz w:val="24"/>
          <w:szCs w:val="24"/>
        </w:rPr>
        <w:t>Vývoj spotreby</w:t>
      </w:r>
      <w:bookmarkEnd w:id="9"/>
      <w:bookmarkEnd w:id="10"/>
      <w:bookmarkEnd w:id="11"/>
    </w:p>
    <w:p w14:paraId="4A83A213" w14:textId="77777777" w:rsidR="00B27340" w:rsidRPr="00C148DF" w:rsidRDefault="00B27340" w:rsidP="002C126C">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Predpokladaný vývoj spotreby elektriny v SR vychádza zo štúdie „Aktualizácia prognózy spotreby elektriny v SR do roku 2040 po jednotlivých rokoch s výhľadom do roku 2050“ spracovanej EGÚ Brno, a.s. pre SEPS v roku 2020.</w:t>
      </w:r>
    </w:p>
    <w:p w14:paraId="36ED83FA" w14:textId="77777777" w:rsidR="00B27340" w:rsidRPr="00C148DF" w:rsidRDefault="00B27340" w:rsidP="007F573E">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lastRenderedPageBreak/>
        <w:t xml:space="preserve">Táto štúdia sa opiera o prognózy ekonomického a demografického vývoja SR, ako aj o predpoklady vývoja energetickej náročnosti a využívania zdrojov primárnej energie pri dodržaní cieľov dekarbonizácie podľa Integrovaného národného energetický a klimatického plánu (INECP) SR. Predpokladá zvyšovanie energetických úspor a efektivity, nové typy spotreby, ako aj nárast </w:t>
      </w:r>
      <w:proofErr w:type="spellStart"/>
      <w:r w:rsidRPr="00C148DF">
        <w:rPr>
          <w:rFonts w:ascii="Times New Roman" w:hAnsi="Times New Roman" w:cs="Times New Roman"/>
          <w:iCs/>
          <w:sz w:val="24"/>
          <w:szCs w:val="24"/>
        </w:rPr>
        <w:t>elektromobility</w:t>
      </w:r>
      <w:proofErr w:type="spellEnd"/>
      <w:r w:rsidRPr="00C148DF">
        <w:rPr>
          <w:rFonts w:ascii="Times New Roman" w:hAnsi="Times New Roman" w:cs="Times New Roman"/>
          <w:iCs/>
          <w:sz w:val="24"/>
          <w:szCs w:val="24"/>
        </w:rPr>
        <w:t>.</w:t>
      </w:r>
    </w:p>
    <w:p w14:paraId="50ECD5D3" w14:textId="77777777" w:rsidR="00B27340" w:rsidRPr="00C148DF" w:rsidRDefault="00B27340" w:rsidP="007F573E">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sz w:val="24"/>
          <w:szCs w:val="24"/>
        </w:rPr>
        <w:t xml:space="preserve">Krátkodobý výhľad spotreby elektriny je ovplyvnený očakávaným poklesom tvorby HDP v národnom hospodárstve vplyvom </w:t>
      </w:r>
      <w:r w:rsidRPr="00C148DF">
        <w:rPr>
          <w:rFonts w:ascii="Times New Roman" w:hAnsi="Times New Roman" w:cs="Times New Roman"/>
          <w:iCs/>
          <w:sz w:val="24"/>
          <w:szCs w:val="24"/>
        </w:rPr>
        <w:t xml:space="preserve">dopadov </w:t>
      </w:r>
      <w:r w:rsidRPr="00C148DF">
        <w:rPr>
          <w:rFonts w:ascii="Times New Roman" w:hAnsi="Times New Roman" w:cs="Times New Roman"/>
          <w:sz w:val="24"/>
          <w:szCs w:val="24"/>
        </w:rPr>
        <w:t xml:space="preserve">pandémie COVID-19.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B27340" w:rsidRPr="00C148DF" w14:paraId="657EC396" w14:textId="77777777" w:rsidTr="00B27340">
        <w:tc>
          <w:tcPr>
            <w:tcW w:w="9062" w:type="dxa"/>
          </w:tcPr>
          <w:p w14:paraId="28D3EED9"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iCs/>
                <w:noProof/>
                <w:sz w:val="24"/>
                <w:szCs w:val="24"/>
                <w:lang w:eastAsia="sk-SK"/>
              </w:rPr>
              <w:drawing>
                <wp:inline distT="0" distB="0" distL="0" distR="0" wp14:anchorId="0C1874D5" wp14:editId="2146C52E">
                  <wp:extent cx="5011727" cy="2671638"/>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1905" cy="2714379"/>
                          </a:xfrm>
                          <a:prstGeom prst="rect">
                            <a:avLst/>
                          </a:prstGeom>
                          <a:noFill/>
                        </pic:spPr>
                      </pic:pic>
                    </a:graphicData>
                  </a:graphic>
                </wp:inline>
              </w:drawing>
            </w:r>
          </w:p>
        </w:tc>
      </w:tr>
      <w:tr w:rsidR="00B27340" w:rsidRPr="00C148DF" w14:paraId="28B152FE" w14:textId="77777777" w:rsidTr="00B27340">
        <w:tc>
          <w:tcPr>
            <w:tcW w:w="9062" w:type="dxa"/>
          </w:tcPr>
          <w:p w14:paraId="4B2239A4"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b/>
                <w:iCs/>
                <w:sz w:val="24"/>
                <w:szCs w:val="24"/>
              </w:rPr>
              <w:t xml:space="preserve">Obr. 2.1  </w:t>
            </w:r>
            <w:r w:rsidRPr="00C148DF">
              <w:rPr>
                <w:rFonts w:ascii="Times New Roman" w:hAnsi="Times New Roman" w:cs="Times New Roman"/>
                <w:iCs/>
                <w:sz w:val="24"/>
                <w:szCs w:val="24"/>
              </w:rPr>
              <w:t xml:space="preserve">Skutočnosť a prognóza celkovej spotreby elektriny </w:t>
            </w:r>
          </w:p>
          <w:p w14:paraId="7B0A34D9"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iCs/>
                <w:sz w:val="24"/>
                <w:szCs w:val="24"/>
              </w:rPr>
              <w:t>a očakávanej výroby elektriny v SR (2015 – 2025)</w:t>
            </w:r>
          </w:p>
          <w:p w14:paraId="519A54BA"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p>
        </w:tc>
      </w:tr>
    </w:tbl>
    <w:p w14:paraId="35C99192" w14:textId="77777777" w:rsidR="00B27340" w:rsidRPr="00F27DBD" w:rsidRDefault="00B27340" w:rsidP="005F0557">
      <w:pPr>
        <w:pStyle w:val="Nadpis2"/>
        <w:numPr>
          <w:ilvl w:val="1"/>
          <w:numId w:val="12"/>
        </w:numPr>
        <w:spacing w:before="240" w:after="120" w:line="259" w:lineRule="auto"/>
        <w:ind w:left="578" w:hanging="578"/>
        <w:jc w:val="both"/>
        <w:rPr>
          <w:rFonts w:ascii="Times New Roman" w:hAnsi="Times New Roman" w:cs="Times New Roman"/>
          <w:b/>
          <w:color w:val="000000" w:themeColor="text1"/>
          <w:sz w:val="24"/>
          <w:szCs w:val="24"/>
        </w:rPr>
      </w:pPr>
      <w:bookmarkStart w:id="12" w:name="_Toc46594167"/>
      <w:r w:rsidRPr="00F27DBD">
        <w:rPr>
          <w:rFonts w:ascii="Times New Roman" w:hAnsi="Times New Roman" w:cs="Times New Roman"/>
          <w:b/>
          <w:color w:val="000000" w:themeColor="text1"/>
          <w:sz w:val="24"/>
          <w:szCs w:val="24"/>
        </w:rPr>
        <w:t>Výroba elektriny</w:t>
      </w:r>
      <w:bookmarkEnd w:id="12"/>
    </w:p>
    <w:tbl>
      <w:tblPr>
        <w:tblStyle w:val="Mriekatabuky"/>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tblGrid>
      <w:tr w:rsidR="00B27340" w:rsidRPr="00C148DF" w14:paraId="5902B10C" w14:textId="77777777" w:rsidTr="00B27340">
        <w:trPr>
          <w:trHeight w:val="3261"/>
        </w:trPr>
        <w:tc>
          <w:tcPr>
            <w:tcW w:w="4503" w:type="dxa"/>
            <w:vAlign w:val="center"/>
          </w:tcPr>
          <w:p w14:paraId="10E269D4" w14:textId="77777777" w:rsidR="00B27340" w:rsidRPr="00C148DF" w:rsidRDefault="00B27340" w:rsidP="00B27340">
            <w:pPr>
              <w:pStyle w:val="Zkladntext3"/>
              <w:spacing w:line="259" w:lineRule="auto"/>
              <w:ind w:left="-250"/>
              <w:jc w:val="center"/>
              <w:rPr>
                <w:rFonts w:ascii="Times New Roman" w:hAnsi="Times New Roman" w:cs="Times New Roman"/>
                <w:iCs/>
                <w:sz w:val="24"/>
                <w:szCs w:val="24"/>
              </w:rPr>
            </w:pPr>
            <w:r w:rsidRPr="00C148DF">
              <w:rPr>
                <w:rFonts w:ascii="Times New Roman" w:hAnsi="Times New Roman" w:cs="Times New Roman"/>
                <w:noProof/>
                <w:sz w:val="24"/>
                <w:szCs w:val="24"/>
                <w:lang w:eastAsia="sk-SK"/>
              </w:rPr>
              <w:drawing>
                <wp:inline distT="0" distB="0" distL="0" distR="0" wp14:anchorId="33073939" wp14:editId="372B0C6F">
                  <wp:extent cx="2753833" cy="2485683"/>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8599" r="8917"/>
                          <a:stretch/>
                        </pic:blipFill>
                        <pic:spPr bwMode="auto">
                          <a:xfrm>
                            <a:off x="0" y="0"/>
                            <a:ext cx="2760774" cy="24919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7340" w:rsidRPr="00C148DF" w14:paraId="0BF43045" w14:textId="77777777" w:rsidTr="00B27340">
        <w:trPr>
          <w:trHeight w:val="630"/>
        </w:trPr>
        <w:tc>
          <w:tcPr>
            <w:tcW w:w="4503" w:type="dxa"/>
          </w:tcPr>
          <w:p w14:paraId="574EFAB1"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b/>
                <w:iCs/>
                <w:sz w:val="24"/>
                <w:szCs w:val="24"/>
              </w:rPr>
              <w:t xml:space="preserve">Obr. 2.2  </w:t>
            </w:r>
            <w:r w:rsidRPr="00C148DF">
              <w:rPr>
                <w:rFonts w:ascii="Times New Roman" w:hAnsi="Times New Roman" w:cs="Times New Roman"/>
                <w:iCs/>
                <w:sz w:val="24"/>
                <w:szCs w:val="24"/>
              </w:rPr>
              <w:t>Hlavné faktory ovplyvňujúce výrobu elektriny</w:t>
            </w:r>
          </w:p>
        </w:tc>
      </w:tr>
    </w:tbl>
    <w:p w14:paraId="31EC83FC" w14:textId="77777777" w:rsidR="00B27340" w:rsidRPr="00C148DF" w:rsidRDefault="00B27340" w:rsidP="00B27340">
      <w:pPr>
        <w:pStyle w:val="normal1"/>
        <w:ind w:firstLine="0"/>
        <w:rPr>
          <w:rFonts w:ascii="Times New Roman" w:hAnsi="Times New Roman"/>
        </w:rPr>
      </w:pPr>
      <w:r w:rsidRPr="00C148DF">
        <w:rPr>
          <w:rFonts w:ascii="Times New Roman" w:hAnsi="Times New Roman"/>
        </w:rPr>
        <w:t>Výroba elektriny v SR bude v rámci celoeurópskeho trhu s elektrinou ovplyvnená vzájomnou interakciou vývoja zdrojového mixu SR, cien primárnych palív, emisií a silovej elektriny na základe klimaticko-energetických cieľov EÚ. Na národnej úrovni bude na veľkosť výroby vplývať regulačný rámec, národné klimaticko-energetické záväzky v súlade s cieľmi EÚ, ako aj vytváranie podmienok pre nové investície v sektore výroby elektriny. V neposlednom rade bude zdrojový mix ovplyvnený nástupom a dostupnosťou nových technológií.</w:t>
      </w:r>
    </w:p>
    <w:p w14:paraId="599027DF" w14:textId="77777777" w:rsidR="00B27340" w:rsidRPr="00C148DF" w:rsidRDefault="00B27340" w:rsidP="00B27340">
      <w:pPr>
        <w:pStyle w:val="normal1"/>
        <w:ind w:firstLine="0"/>
        <w:rPr>
          <w:rFonts w:ascii="Times New Roman" w:hAnsi="Times New Roman"/>
        </w:rPr>
      </w:pPr>
      <w:r w:rsidRPr="00C148DF">
        <w:rPr>
          <w:rFonts w:ascii="Times New Roman" w:hAnsi="Times New Roman"/>
        </w:rPr>
        <w:t>V horizonte piatich rokov je predpoklad zachovania existujúceho zdrojového mixu s výrazným nárastom podielu jadrových elektrární na inštalovanom výkone a na celkovej výrobe elektriny v SR.</w:t>
      </w:r>
    </w:p>
    <w:p w14:paraId="33A8B1DD" w14:textId="4B8446D2" w:rsidR="00B27340" w:rsidRPr="00C148DF" w:rsidRDefault="00852E7F" w:rsidP="002D72D7">
      <w:pPr>
        <w:spacing w:before="120" w:after="0"/>
        <w:rPr>
          <w:rFonts w:ascii="Times New Roman" w:hAnsi="Times New Roman" w:cs="Times New Roman"/>
          <w:sz w:val="24"/>
          <w:szCs w:val="24"/>
        </w:rPr>
      </w:pP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sidR="00B27340" w:rsidRPr="00C148DF">
        <w:rPr>
          <w:rFonts w:ascii="Times New Roman" w:hAnsi="Times New Roman" w:cs="Times New Roman"/>
          <w:b/>
          <w:sz w:val="24"/>
          <w:szCs w:val="24"/>
        </w:rPr>
        <w:lastRenderedPageBreak/>
        <w:t>Jadrové elektrárne</w:t>
      </w:r>
      <w:r w:rsidR="009728C8">
        <w:rPr>
          <w:rFonts w:ascii="Times New Roman" w:hAnsi="Times New Roman" w:cs="Times New Roman"/>
          <w:b/>
          <w:sz w:val="24"/>
          <w:szCs w:val="24"/>
        </w:rPr>
        <w:br/>
      </w:r>
      <w:r w:rsidRPr="009728C8">
        <w:rPr>
          <w:rFonts w:ascii="Times New Roman" w:hAnsi="Times New Roman"/>
          <w:sz w:val="8"/>
          <w:szCs w:val="8"/>
        </w:rPr>
        <w:br/>
      </w:r>
      <w:r w:rsidR="00B27340" w:rsidRPr="00C148DF">
        <w:rPr>
          <w:rFonts w:ascii="Times New Roman" w:hAnsi="Times New Roman" w:cs="Times New Roman"/>
          <w:sz w:val="24"/>
          <w:szCs w:val="24"/>
        </w:rPr>
        <w:t>Z </w:t>
      </w:r>
      <w:r w:rsidR="002D72D7">
        <w:rPr>
          <w:rFonts w:ascii="Times New Roman" w:hAnsi="Times New Roman" w:cs="Times New Roman"/>
          <w:sz w:val="24"/>
          <w:szCs w:val="24"/>
        </w:rPr>
        <w:t xml:space="preserve"> </w:t>
      </w:r>
      <w:r w:rsidR="00B27340" w:rsidRPr="00C148DF">
        <w:rPr>
          <w:rFonts w:ascii="Times New Roman" w:hAnsi="Times New Roman" w:cs="Times New Roman"/>
          <w:sz w:val="24"/>
          <w:szCs w:val="24"/>
        </w:rPr>
        <w:t>predpokladaných</w:t>
      </w:r>
      <w:r w:rsidR="002D72D7">
        <w:rPr>
          <w:rFonts w:ascii="Times New Roman" w:hAnsi="Times New Roman" w:cs="Times New Roman"/>
          <w:sz w:val="24"/>
          <w:szCs w:val="24"/>
        </w:rPr>
        <w:t xml:space="preserve"> </w:t>
      </w:r>
      <w:r w:rsidR="00B27340" w:rsidRPr="00C148DF">
        <w:rPr>
          <w:rFonts w:ascii="Times New Roman" w:hAnsi="Times New Roman" w:cs="Times New Roman"/>
          <w:sz w:val="24"/>
          <w:szCs w:val="24"/>
        </w:rPr>
        <w:t xml:space="preserve"> zmien </w:t>
      </w:r>
      <w:r w:rsidR="002D72D7">
        <w:rPr>
          <w:rFonts w:ascii="Times New Roman" w:hAnsi="Times New Roman" w:cs="Times New Roman"/>
          <w:sz w:val="24"/>
          <w:szCs w:val="24"/>
        </w:rPr>
        <w:t xml:space="preserve"> </w:t>
      </w:r>
      <w:r w:rsidR="00B27340" w:rsidRPr="00C148DF">
        <w:rPr>
          <w:rFonts w:ascii="Times New Roman" w:hAnsi="Times New Roman" w:cs="Times New Roman"/>
          <w:sz w:val="24"/>
          <w:szCs w:val="24"/>
        </w:rPr>
        <w:t>v </w:t>
      </w:r>
      <w:r w:rsidR="002D72D7">
        <w:rPr>
          <w:rFonts w:ascii="Times New Roman" w:hAnsi="Times New Roman" w:cs="Times New Roman"/>
          <w:sz w:val="24"/>
          <w:szCs w:val="24"/>
        </w:rPr>
        <w:t xml:space="preserve"> </w:t>
      </w:r>
      <w:r w:rsidR="00B27340" w:rsidRPr="00C148DF">
        <w:rPr>
          <w:rFonts w:ascii="Times New Roman" w:hAnsi="Times New Roman" w:cs="Times New Roman"/>
          <w:sz w:val="24"/>
          <w:szCs w:val="24"/>
        </w:rPr>
        <w:t xml:space="preserve">existujúcej </w:t>
      </w:r>
      <w:r w:rsidR="002D72D7">
        <w:rPr>
          <w:rFonts w:ascii="Times New Roman" w:hAnsi="Times New Roman" w:cs="Times New Roman"/>
          <w:sz w:val="24"/>
          <w:szCs w:val="24"/>
        </w:rPr>
        <w:t xml:space="preserve"> </w:t>
      </w:r>
      <w:r w:rsidR="00B27340" w:rsidRPr="00C148DF">
        <w:rPr>
          <w:rFonts w:ascii="Times New Roman" w:hAnsi="Times New Roman" w:cs="Times New Roman"/>
          <w:sz w:val="24"/>
          <w:szCs w:val="24"/>
        </w:rPr>
        <w:t xml:space="preserve">zdrojovej </w:t>
      </w:r>
      <w:r w:rsidR="002D72D7">
        <w:rPr>
          <w:rFonts w:ascii="Times New Roman" w:hAnsi="Times New Roman" w:cs="Times New Roman"/>
          <w:sz w:val="24"/>
          <w:szCs w:val="24"/>
        </w:rPr>
        <w:t xml:space="preserve"> </w:t>
      </w:r>
      <w:r w:rsidR="00B27340" w:rsidRPr="00C148DF">
        <w:rPr>
          <w:rFonts w:ascii="Times New Roman" w:hAnsi="Times New Roman" w:cs="Times New Roman"/>
          <w:sz w:val="24"/>
          <w:szCs w:val="24"/>
        </w:rPr>
        <w:t>základni</w:t>
      </w:r>
      <w:r w:rsidR="002D72D7">
        <w:rPr>
          <w:rFonts w:ascii="Times New Roman" w:hAnsi="Times New Roman" w:cs="Times New Roman"/>
          <w:sz w:val="24"/>
          <w:szCs w:val="24"/>
        </w:rPr>
        <w:t xml:space="preserve"> </w:t>
      </w:r>
      <w:r w:rsidR="00B27340" w:rsidRPr="00C148DF">
        <w:rPr>
          <w:rFonts w:ascii="Times New Roman" w:hAnsi="Times New Roman" w:cs="Times New Roman"/>
          <w:sz w:val="24"/>
          <w:szCs w:val="24"/>
        </w:rPr>
        <w:t xml:space="preserve"> je</w:t>
      </w:r>
      <w:r w:rsidR="002D72D7">
        <w:rPr>
          <w:rFonts w:ascii="Times New Roman" w:hAnsi="Times New Roman" w:cs="Times New Roman"/>
          <w:sz w:val="24"/>
          <w:szCs w:val="24"/>
        </w:rPr>
        <w:t xml:space="preserve"> </w:t>
      </w:r>
      <w:r w:rsidR="00B27340" w:rsidRPr="00C148DF">
        <w:rPr>
          <w:rFonts w:ascii="Times New Roman" w:hAnsi="Times New Roman" w:cs="Times New Roman"/>
          <w:sz w:val="24"/>
          <w:szCs w:val="24"/>
        </w:rPr>
        <w:t xml:space="preserve"> potrebné </w:t>
      </w:r>
      <w:r w:rsidR="002D72D7">
        <w:rPr>
          <w:rFonts w:ascii="Times New Roman" w:hAnsi="Times New Roman" w:cs="Times New Roman"/>
          <w:sz w:val="24"/>
          <w:szCs w:val="24"/>
        </w:rPr>
        <w:t xml:space="preserve"> </w:t>
      </w:r>
      <w:r w:rsidR="00B27340" w:rsidRPr="00C148DF">
        <w:rPr>
          <w:rFonts w:ascii="Times New Roman" w:hAnsi="Times New Roman" w:cs="Times New Roman"/>
          <w:sz w:val="24"/>
          <w:szCs w:val="24"/>
        </w:rPr>
        <w:t xml:space="preserve">spomenúť </w:t>
      </w:r>
      <w:r w:rsidR="002D72D7">
        <w:rPr>
          <w:rFonts w:ascii="Times New Roman" w:hAnsi="Times New Roman" w:cs="Times New Roman"/>
          <w:sz w:val="24"/>
          <w:szCs w:val="24"/>
        </w:rPr>
        <w:t xml:space="preserve"> </w:t>
      </w:r>
      <w:r w:rsidR="00B27340" w:rsidRPr="00C148DF">
        <w:rPr>
          <w:rFonts w:ascii="Times New Roman" w:hAnsi="Times New Roman" w:cs="Times New Roman"/>
          <w:sz w:val="24"/>
          <w:szCs w:val="24"/>
        </w:rPr>
        <w:t>predĺženie prevádzkovej životnosti jadrovej elektrárne EBO V2 (2x500 MW) na 60 rokov, teda do roku 2044, resp. 2045.</w:t>
      </w:r>
      <w:r w:rsidR="009728C8">
        <w:rPr>
          <w:rFonts w:ascii="Times New Roman" w:hAnsi="Times New Roman" w:cs="Times New Roman"/>
          <w:sz w:val="24"/>
          <w:szCs w:val="24"/>
        </w:rPr>
        <w:br/>
      </w:r>
    </w:p>
    <w:p w14:paraId="69BC47AB" w14:textId="77777777" w:rsidR="00B27340" w:rsidRPr="00C148DF" w:rsidRDefault="00B27340" w:rsidP="007F573E">
      <w:pPr>
        <w:jc w:val="both"/>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 xml:space="preserve">V rokoch 2020 a 2021 dôjde počas plánovaných odstávok k zvýšeniu inštalovaného výkonu EMO, blokov 1 a 2 z 2x470 MW, na hodnotu 2x500 MW. </w:t>
      </w:r>
    </w:p>
    <w:p w14:paraId="771669E6" w14:textId="77777777" w:rsidR="00B27340" w:rsidRPr="00C148DF" w:rsidRDefault="00B27340" w:rsidP="007F573E">
      <w:pPr>
        <w:jc w:val="both"/>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Výstavba jadrovej elektrárne EMO, blokov 3 a 4 (2x471 MW), pokračuje.</w:t>
      </w:r>
      <w:r w:rsidRPr="00C148DF">
        <w:rPr>
          <w:rFonts w:ascii="Times New Roman" w:hAnsi="Times New Roman" w:cs="Times New Roman"/>
          <w:sz w:val="24"/>
          <w:szCs w:val="24"/>
        </w:rPr>
        <w:t xml:space="preserve"> Je predpoklad jej uvedenia do prevádzky v roku 2021. </w:t>
      </w:r>
      <w:r w:rsidRPr="00C148DF">
        <w:rPr>
          <w:rFonts w:ascii="Times New Roman" w:eastAsia="Times New Roman" w:hAnsi="Times New Roman" w:cs="Times New Roman"/>
          <w:sz w:val="24"/>
          <w:szCs w:val="24"/>
          <w:lang w:eastAsia="sk-SK"/>
        </w:rPr>
        <w:t>Infraštruktúra pre pripojenie obidvoch nových blokov do PS je už vybudovaná. Blok č. 3 je do PS pripojený od konca roku 2017, zatiaľ pre potreby odberu elektriny.</w:t>
      </w:r>
    </w:p>
    <w:p w14:paraId="31E98348" w14:textId="77777777" w:rsidR="00B27340" w:rsidRDefault="00B27340" w:rsidP="00B27340">
      <w:pPr>
        <w:pStyle w:val="normal1"/>
        <w:spacing w:after="0"/>
        <w:ind w:firstLine="0"/>
        <w:rPr>
          <w:rFonts w:ascii="Times New Roman" w:hAnsi="Times New Roman"/>
          <w:b/>
        </w:rPr>
      </w:pPr>
      <w:r w:rsidRPr="00C148DF">
        <w:rPr>
          <w:rFonts w:ascii="Times New Roman" w:hAnsi="Times New Roman"/>
          <w:b/>
        </w:rPr>
        <w:t>Fosílne elektrárne</w:t>
      </w:r>
    </w:p>
    <w:p w14:paraId="665E3C31" w14:textId="407EDF5E" w:rsidR="00B27340" w:rsidRPr="00C148DF" w:rsidRDefault="009728C8" w:rsidP="007F573E">
      <w:pPr>
        <w:jc w:val="both"/>
        <w:rPr>
          <w:rFonts w:ascii="Times New Roman" w:hAnsi="Times New Roman" w:cs="Times New Roman"/>
          <w:sz w:val="24"/>
          <w:szCs w:val="24"/>
        </w:rPr>
      </w:pPr>
      <w:r w:rsidRPr="009728C8">
        <w:rPr>
          <w:rFonts w:ascii="Times New Roman" w:hAnsi="Times New Roman" w:cs="Times New Roman"/>
          <w:sz w:val="8"/>
          <w:szCs w:val="8"/>
        </w:rPr>
        <w:br/>
      </w:r>
      <w:r w:rsidR="00B27340" w:rsidRPr="00C148DF">
        <w:rPr>
          <w:rFonts w:ascii="Times New Roman" w:hAnsi="Times New Roman" w:cs="Times New Roman"/>
          <w:sz w:val="24"/>
          <w:szCs w:val="24"/>
        </w:rPr>
        <w:t xml:space="preserve">PPC Malženice (420 MW) bol v priebehu roku 2018 opätovne uvedený do prevádzky. Od roku 2019 bol prevádzkovaný v denných cykloch v čase od 6:00 do 22:00 v pásme dodávky elektriny 380 MW s rezervou pre poskytovanie </w:t>
      </w:r>
      <w:proofErr w:type="spellStart"/>
      <w:r w:rsidR="00B27340" w:rsidRPr="00C148DF">
        <w:rPr>
          <w:rFonts w:ascii="Times New Roman" w:hAnsi="Times New Roman" w:cs="Times New Roman"/>
          <w:sz w:val="24"/>
          <w:szCs w:val="24"/>
        </w:rPr>
        <w:t>PpS</w:t>
      </w:r>
      <w:proofErr w:type="spellEnd"/>
      <w:r w:rsidR="00B27340" w:rsidRPr="00C148DF">
        <w:rPr>
          <w:rFonts w:ascii="Times New Roman" w:hAnsi="Times New Roman" w:cs="Times New Roman"/>
          <w:sz w:val="24"/>
          <w:szCs w:val="24"/>
        </w:rPr>
        <w:t xml:space="preserve">. V súčasnosti je v prevádzke prevažne len počas pracovných dní. Okrem dodávky silovej elektriny má táto elektráreň navyše schopnosť rýchlej zmeny výkonu v pomerne širokom rozsahu, čo je výhodné pre poskytovanie </w:t>
      </w:r>
      <w:proofErr w:type="spellStart"/>
      <w:r w:rsidR="00B27340" w:rsidRPr="00C148DF">
        <w:rPr>
          <w:rFonts w:ascii="Times New Roman" w:hAnsi="Times New Roman" w:cs="Times New Roman"/>
          <w:sz w:val="24"/>
          <w:szCs w:val="24"/>
        </w:rPr>
        <w:t>PpS</w:t>
      </w:r>
      <w:proofErr w:type="spellEnd"/>
      <w:r w:rsidR="00B27340" w:rsidRPr="00C148DF">
        <w:rPr>
          <w:rFonts w:ascii="Times New Roman" w:hAnsi="Times New Roman" w:cs="Times New Roman"/>
          <w:sz w:val="24"/>
          <w:szCs w:val="24"/>
        </w:rPr>
        <w:t xml:space="preserve">, pre ktoré sa v súčasnosti využíva len </w:t>
      </w:r>
      <w:proofErr w:type="spellStart"/>
      <w:r w:rsidR="00B27340" w:rsidRPr="00C148DF">
        <w:rPr>
          <w:rFonts w:ascii="Times New Roman" w:hAnsi="Times New Roman" w:cs="Times New Roman"/>
          <w:sz w:val="24"/>
          <w:szCs w:val="24"/>
        </w:rPr>
        <w:t>dieselgenerátor</w:t>
      </w:r>
      <w:proofErr w:type="spellEnd"/>
      <w:r w:rsidR="00B27340" w:rsidRPr="00C148DF">
        <w:rPr>
          <w:rFonts w:ascii="Times New Roman" w:hAnsi="Times New Roman" w:cs="Times New Roman"/>
          <w:sz w:val="24"/>
          <w:szCs w:val="24"/>
        </w:rPr>
        <w:t xml:space="preserve"> PPC Malženice (10 MW).</w:t>
      </w:r>
    </w:p>
    <w:p w14:paraId="4838183D"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S pravidelnou prevádzkou PPC Bratislava (218 MW) sa z ekonomických dôvodov neuvažuje (absencia zmluvy o dodávke tepla).</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B27340" w:rsidRPr="00C148DF" w14:paraId="4E6C87C9" w14:textId="77777777" w:rsidTr="00B27340">
        <w:tc>
          <w:tcPr>
            <w:tcW w:w="9062" w:type="dxa"/>
          </w:tcPr>
          <w:p w14:paraId="2B06C057"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p>
          <w:p w14:paraId="3D0D9DD3"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sz w:val="24"/>
                <w:szCs w:val="24"/>
              </w:rPr>
              <w:object w:dxaOrig="8520" w:dyaOrig="8280" w14:anchorId="275D59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8pt;height:414.7pt" o:ole="">
                  <v:imagedata r:id="rId27" o:title=""/>
                </v:shape>
                <o:OLEObject Type="Embed" ProgID="PBrush" ShapeID="_x0000_i1025" DrawAspect="Content" ObjectID="_1670067878" r:id="rId28"/>
              </w:object>
            </w:r>
          </w:p>
        </w:tc>
      </w:tr>
      <w:tr w:rsidR="00B27340" w:rsidRPr="00C148DF" w14:paraId="46BCFD9E" w14:textId="77777777" w:rsidTr="00B27340">
        <w:trPr>
          <w:trHeight w:val="340"/>
        </w:trPr>
        <w:tc>
          <w:tcPr>
            <w:tcW w:w="9062" w:type="dxa"/>
          </w:tcPr>
          <w:p w14:paraId="34A20595" w14:textId="77777777" w:rsidR="00B27340" w:rsidRPr="00C148DF" w:rsidRDefault="00B27340" w:rsidP="00B27340">
            <w:pPr>
              <w:pStyle w:val="Zkladntext3"/>
              <w:spacing w:line="259" w:lineRule="auto"/>
              <w:jc w:val="center"/>
              <w:rPr>
                <w:rFonts w:ascii="Times New Roman" w:hAnsi="Times New Roman" w:cs="Times New Roman"/>
                <w:noProof/>
                <w:sz w:val="24"/>
                <w:szCs w:val="24"/>
                <w:lang w:eastAsia="sk-SK"/>
              </w:rPr>
            </w:pPr>
            <w:r w:rsidRPr="00C148DF">
              <w:rPr>
                <w:rFonts w:ascii="Times New Roman" w:hAnsi="Times New Roman" w:cs="Times New Roman"/>
                <w:noProof/>
                <w:sz w:val="24"/>
                <w:szCs w:val="24"/>
                <w:lang w:eastAsia="sk-SK"/>
              </w:rPr>
              <w:lastRenderedPageBreak/>
              <w:drawing>
                <wp:inline distT="0" distB="0" distL="0" distR="0" wp14:anchorId="0988D82B" wp14:editId="61D994EE">
                  <wp:extent cx="5247861" cy="33633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7983" cy="350437"/>
                          </a:xfrm>
                          <a:prstGeom prst="rect">
                            <a:avLst/>
                          </a:prstGeom>
                          <a:noFill/>
                          <a:ln>
                            <a:noFill/>
                          </a:ln>
                        </pic:spPr>
                      </pic:pic>
                    </a:graphicData>
                  </a:graphic>
                </wp:inline>
              </w:drawing>
            </w:r>
          </w:p>
        </w:tc>
      </w:tr>
      <w:tr w:rsidR="00B27340" w:rsidRPr="00C148DF" w14:paraId="3A8A6390" w14:textId="77777777" w:rsidTr="00B27340">
        <w:tc>
          <w:tcPr>
            <w:tcW w:w="9062" w:type="dxa"/>
          </w:tcPr>
          <w:p w14:paraId="5B5A8418" w14:textId="77777777" w:rsidR="00B27340" w:rsidRPr="00C148DF" w:rsidRDefault="00B27340" w:rsidP="00B27340">
            <w:pPr>
              <w:jc w:val="center"/>
              <w:rPr>
                <w:rFonts w:ascii="Times New Roman" w:hAnsi="Times New Roman" w:cs="Times New Roman"/>
                <w:b/>
                <w:sz w:val="24"/>
                <w:szCs w:val="24"/>
              </w:rPr>
            </w:pPr>
            <w:r w:rsidRPr="00C148DF">
              <w:rPr>
                <w:rFonts w:ascii="Times New Roman" w:hAnsi="Times New Roman" w:cs="Times New Roman"/>
                <w:b/>
                <w:bCs/>
                <w:sz w:val="24"/>
                <w:szCs w:val="24"/>
              </w:rPr>
              <w:t xml:space="preserve">Obr. 2.3  </w:t>
            </w:r>
            <w:r w:rsidRPr="00C148DF">
              <w:rPr>
                <w:rFonts w:ascii="Times New Roman" w:hAnsi="Times New Roman" w:cs="Times New Roman"/>
                <w:bCs/>
                <w:sz w:val="24"/>
                <w:szCs w:val="24"/>
              </w:rPr>
              <w:t>Obdobie prevádzky súčasných a plánovaných väčších výrobných jednotiek</w:t>
            </w:r>
          </w:p>
        </w:tc>
      </w:tr>
    </w:tbl>
    <w:p w14:paraId="6A1A52CB" w14:textId="77777777" w:rsidR="00B27340" w:rsidRPr="00C148DF" w:rsidRDefault="00B27340" w:rsidP="00B27340">
      <w:pPr>
        <w:spacing w:after="0"/>
        <w:rPr>
          <w:rFonts w:ascii="Times New Roman" w:hAnsi="Times New Roman" w:cs="Times New Roman"/>
          <w:sz w:val="24"/>
          <w:szCs w:val="24"/>
        </w:rPr>
      </w:pPr>
    </w:p>
    <w:p w14:paraId="0EE71A87"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 xml:space="preserve">Prevádzka hnedouhoľnej elektrárne Nováky (2x110 MW) by, podľa návrhu INECP SR a ďalších strategických dokumentov SR pre oblasť energetiky, mala byť podporovaná len do roku 2023. Po roku 2023 sa uvažuje s ukončením jej prevádzky. Predpokladá sa, že táto elektráreň by mala byť nahradená zariadením pre výrobu a dodávku tepla pre daný región. </w:t>
      </w:r>
    </w:p>
    <w:p w14:paraId="52F16C48" w14:textId="77777777" w:rsidR="00B27340" w:rsidRPr="00C148DF" w:rsidRDefault="00B27340" w:rsidP="007F573E">
      <w:pPr>
        <w:pStyle w:val="Zkladntext3"/>
        <w:spacing w:before="120" w:line="259" w:lineRule="auto"/>
        <w:jc w:val="both"/>
        <w:rPr>
          <w:rFonts w:ascii="Times New Roman" w:hAnsi="Times New Roman" w:cs="Times New Roman"/>
          <w:sz w:val="24"/>
          <w:szCs w:val="24"/>
        </w:rPr>
      </w:pPr>
      <w:r w:rsidRPr="00C148DF">
        <w:rPr>
          <w:rFonts w:ascii="Times New Roman" w:hAnsi="Times New Roman" w:cs="Times New Roman"/>
          <w:sz w:val="24"/>
          <w:szCs w:val="24"/>
        </w:rPr>
        <w:t>Z dôvodu finančne náročnej prevádzky a potreby dodatočných investičných nákladov pre zmenu pripojenia ostatných čiernouhoľných blokov elektrárne Vojany (2x110 MW)   je potrebné  hľadať riešenie na existujúce výzvy (napr. zmena využívaného paliva). V súčasnosti prebieha v elektrárni testovanie samostatného spaľovania tzv. tuhého druhotného paliva, od ktorého výsledkov bude závisieť  ďalší postup investora.</w:t>
      </w:r>
    </w:p>
    <w:p w14:paraId="12D3EBB0" w14:textId="77777777" w:rsidR="00B27340" w:rsidRPr="00C148DF" w:rsidRDefault="00B27340" w:rsidP="007F573E">
      <w:pPr>
        <w:pStyle w:val="Zkladntext3"/>
        <w:spacing w:before="120" w:line="259" w:lineRule="auto"/>
        <w:jc w:val="both"/>
        <w:rPr>
          <w:rFonts w:ascii="Times New Roman" w:hAnsi="Times New Roman" w:cs="Times New Roman"/>
          <w:b/>
          <w:iCs/>
          <w:sz w:val="24"/>
          <w:szCs w:val="24"/>
        </w:rPr>
      </w:pPr>
      <w:r w:rsidRPr="00C148DF">
        <w:rPr>
          <w:rFonts w:ascii="Times New Roman" w:hAnsi="Times New Roman" w:cs="Times New Roman"/>
          <w:b/>
          <w:iCs/>
          <w:sz w:val="24"/>
          <w:szCs w:val="24"/>
        </w:rPr>
        <w:t>Vodné elektrárne</w:t>
      </w:r>
    </w:p>
    <w:p w14:paraId="67057722"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V súčasnosti nie je rozpracovaná žiadna väčšia investícia, ktorá by výrazným spôsobom zmenila, resp. ovplyvnila podiel VE v zdrojovom mixe SR.</w:t>
      </w:r>
    </w:p>
    <w:p w14:paraId="57B83608" w14:textId="77777777" w:rsidR="00B27340" w:rsidRPr="00C148DF" w:rsidRDefault="00B27340" w:rsidP="007F573E">
      <w:pPr>
        <w:pStyle w:val="Zkladntext3"/>
        <w:spacing w:line="259" w:lineRule="auto"/>
        <w:jc w:val="both"/>
        <w:rPr>
          <w:rFonts w:ascii="Times New Roman" w:hAnsi="Times New Roman" w:cs="Times New Roman"/>
          <w:b/>
          <w:iCs/>
          <w:sz w:val="24"/>
          <w:szCs w:val="24"/>
        </w:rPr>
      </w:pPr>
      <w:r w:rsidRPr="00C148DF">
        <w:rPr>
          <w:rFonts w:ascii="Times New Roman" w:hAnsi="Times New Roman" w:cs="Times New Roman"/>
          <w:b/>
          <w:iCs/>
          <w:sz w:val="24"/>
          <w:szCs w:val="24"/>
        </w:rPr>
        <w:lastRenderedPageBreak/>
        <w:t>Ostatné zariadenia na výrobu elektriny</w:t>
      </w:r>
    </w:p>
    <w:p w14:paraId="50FDB336"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V súčasnej dobe a ani za uplynulých 5 rokov neeviduje SEPS záujem o výstavbu významného zariadenia na výrobu elektrickej energie (cca 50 MW a viac). Investori sa zameriavajú na realizáciu projektov miestneho významu. Sú to zariadenia na výrobu elektriny na báze zemného plynu, slúžiace na kombinovanú výrobu elektriny a tepla, prípadne zariadenia, ktoré využívajú odpad z priemyselných prevádzok (drevospracujúci priemysel) alebo z poľnohospodárskych objektov, ktoré majú vylepšovať ekonomiku odberateľov elektriny tým, že časť tepla, potrebného na svoju činnosť si sami vyrobia navyše s bonusom vo forme elektriny, ktorú tiež spotrebujú. Dá sa očakávať, vzhľadom na zvýšený tlak v oblasti efektívneho a ekologického spracovania odpadu, nárast inštalovaného výkonu v zariadeniach na spaľovanie existujúcich a nových odpadov a ČOV. Tieto zariadenia budú, vzhľadom na svoj menovitý inštalovaný výkon, pripájané do distribučných sústav, čím budú umiestnené  bližšie k miestam konečnej spotreby elektriny.</w:t>
      </w:r>
    </w:p>
    <w:p w14:paraId="2FD10472" w14:textId="77777777" w:rsidR="00B27340" w:rsidRPr="00C148DF" w:rsidRDefault="00B27340" w:rsidP="007F573E">
      <w:pPr>
        <w:pStyle w:val="Zkladntext3"/>
        <w:spacing w:before="120" w:line="259" w:lineRule="auto"/>
        <w:jc w:val="both"/>
        <w:rPr>
          <w:rFonts w:ascii="Times New Roman" w:hAnsi="Times New Roman" w:cs="Times New Roman"/>
          <w:b/>
          <w:iCs/>
          <w:sz w:val="24"/>
          <w:szCs w:val="24"/>
        </w:rPr>
      </w:pPr>
      <w:r w:rsidRPr="00C148DF">
        <w:rPr>
          <w:rFonts w:ascii="Times New Roman" w:hAnsi="Times New Roman" w:cs="Times New Roman"/>
          <w:b/>
          <w:iCs/>
          <w:sz w:val="24"/>
          <w:szCs w:val="24"/>
        </w:rPr>
        <w:t>OZE</w:t>
      </w:r>
    </w:p>
    <w:p w14:paraId="00A45D7D"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 xml:space="preserve">V súvislosti s novelizáciou Zákona č. 309/2009 Z. z. o podpore obnoviteľných zdrojov energie a vysoko účinnej kombinovanej výroby a o zmene a doplnení niektorých zákonov, zverejnilo MH SR dňa 27.02.2019 pre rok 2019 objem pre inštalovaný výkon nových zariadení na výrobu elektriny z OZE a VÚ KVET s podporou a tiež inštalovaný výkon v lokálnych zdrojoch bez povinnosti platby tarify za prevádzkovanie systému. V roku 2019 </w:t>
      </w:r>
      <w:r w:rsidRPr="00C148DF">
        <w:rPr>
          <w:rFonts w:ascii="Times New Roman" w:hAnsi="Times New Roman" w:cs="Times New Roman"/>
          <w:iCs/>
          <w:sz w:val="24"/>
          <w:szCs w:val="24"/>
        </w:rPr>
        <w:t>bolo</w:t>
      </w:r>
      <w:r w:rsidRPr="00C148DF">
        <w:rPr>
          <w:rFonts w:ascii="Times New Roman" w:hAnsi="Times New Roman" w:cs="Times New Roman"/>
          <w:sz w:val="24"/>
          <w:szCs w:val="24"/>
        </w:rPr>
        <w:t xml:space="preserve"> možné do sústavy pripojiť zariadenia na výrobu elektriny o sumárnom inštalovanom výkone 77 MW. </w:t>
      </w:r>
    </w:p>
    <w:p w14:paraId="3CA3303E" w14:textId="77777777" w:rsidR="00B27340" w:rsidRPr="00C148DF" w:rsidRDefault="00B27340" w:rsidP="007F573E">
      <w:pPr>
        <w:jc w:val="both"/>
        <w:rPr>
          <w:rFonts w:ascii="Times New Roman" w:hAnsi="Times New Roman" w:cs="Times New Roman"/>
          <w:iCs/>
          <w:sz w:val="24"/>
          <w:szCs w:val="24"/>
        </w:rPr>
      </w:pPr>
      <w:r w:rsidRPr="00C148DF">
        <w:rPr>
          <w:rFonts w:ascii="Times New Roman" w:hAnsi="Times New Roman" w:cs="Times New Roman"/>
          <w:iCs/>
          <w:sz w:val="24"/>
          <w:szCs w:val="24"/>
        </w:rPr>
        <w:t>Inštalovaný výkon zariadení na výrobu elektriny s právom na podporu pre rok 2019, 2020 a 2021 je zverejnený na </w:t>
      </w:r>
      <w:r w:rsidRPr="00C148DF">
        <w:rPr>
          <w:rStyle w:val="Hypertextovprepojenie"/>
          <w:rFonts w:ascii="Times New Roman" w:hAnsi="Times New Roman" w:cs="Times New Roman"/>
          <w:iCs/>
          <w:sz w:val="24"/>
          <w:szCs w:val="24"/>
        </w:rPr>
        <w:t>webovom sídle MH SR</w:t>
      </w:r>
      <w:r w:rsidRPr="00C148DF">
        <w:rPr>
          <w:rStyle w:val="Hypertextovprepojenie"/>
          <w:rFonts w:ascii="Times New Roman" w:hAnsi="Times New Roman" w:cs="Times New Roman"/>
          <w:iCs/>
          <w:sz w:val="24"/>
          <w:szCs w:val="24"/>
          <w:vertAlign w:val="superscript"/>
        </w:rPr>
        <w:footnoteReference w:id="3"/>
      </w:r>
      <w:r w:rsidRPr="00C148DF">
        <w:rPr>
          <w:rFonts w:ascii="Times New Roman" w:hAnsi="Times New Roman" w:cs="Times New Roman"/>
          <w:iCs/>
          <w:sz w:val="24"/>
          <w:szCs w:val="24"/>
        </w:rPr>
        <w:t>. Ide o maximálny inštalovaný výkon nových zariadení na výrobu elektriny [MW], ktorý je možné pripojiť do regionálnej distribučnej sústavy v roku 2020 z pohľadu vplyvov na prevádzku PS. Ak určený inštalovaný výkon pre uvedené roky pre danú regionálnu distribučnú sústavu a pre daný typ zdroja nebol využitý (nebol pripojený do regionálnej distribučnej sústavy v konkrétnom roku), pripočíta sa k inštalovanému výkonu stanovenému pre nasledujúci rok. V prípade nevyužitia inštalovaného výkonu v roku 2019 a 2020, je možné celý zvyšný objem pripočítať k hodnote stanovenej pre rok 2021.</w:t>
      </w:r>
    </w:p>
    <w:p w14:paraId="5B7E9E54" w14:textId="679828A8" w:rsidR="00B27340" w:rsidRPr="00C148DF" w:rsidRDefault="00366A4B" w:rsidP="00B27340">
      <w:pPr>
        <w:pStyle w:val="Zkladntext3"/>
        <w:spacing w:before="120"/>
        <w:rPr>
          <w:rFonts w:ascii="Times New Roman" w:hAnsi="Times New Roman" w:cs="Times New Roman"/>
          <w:iCs/>
          <w:sz w:val="24"/>
          <w:szCs w:val="24"/>
        </w:rPr>
      </w:pPr>
      <w:r>
        <w:rPr>
          <w:rFonts w:ascii="Times New Roman" w:hAnsi="Times New Roman" w:cs="Times New Roman"/>
          <w:b/>
          <w:iCs/>
          <w:sz w:val="24"/>
          <w:szCs w:val="24"/>
        </w:rPr>
        <w:br/>
      </w:r>
      <w:r w:rsidR="00B27340" w:rsidRPr="00C148DF">
        <w:rPr>
          <w:rFonts w:ascii="Times New Roman" w:hAnsi="Times New Roman" w:cs="Times New Roman"/>
          <w:b/>
          <w:iCs/>
          <w:sz w:val="24"/>
          <w:szCs w:val="24"/>
        </w:rPr>
        <w:t>Tab. 2.1</w:t>
      </w:r>
      <w:r w:rsidR="00B27340" w:rsidRPr="00C148DF">
        <w:rPr>
          <w:rFonts w:ascii="Times New Roman" w:hAnsi="Times New Roman" w:cs="Times New Roman"/>
          <w:iCs/>
          <w:sz w:val="24"/>
          <w:szCs w:val="24"/>
        </w:rPr>
        <w:t xml:space="preserve">  Inštalovaný výkon zariadení na výrobu elektriny s právom na podporu na rok 2020</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B27340" w:rsidRPr="00C148DF" w14:paraId="6E6F8290" w14:textId="77777777" w:rsidTr="00B27340">
        <w:tc>
          <w:tcPr>
            <w:tcW w:w="9062" w:type="dxa"/>
          </w:tcPr>
          <w:p w14:paraId="238CDFB9" w14:textId="77777777" w:rsidR="00B27340" w:rsidRPr="00C148DF" w:rsidRDefault="00B27340" w:rsidP="00B27340">
            <w:pPr>
              <w:pStyle w:val="Zkladntext3"/>
              <w:spacing w:line="259" w:lineRule="auto"/>
              <w:rPr>
                <w:rFonts w:ascii="Times New Roman" w:hAnsi="Times New Roman" w:cs="Times New Roman"/>
                <w:iCs/>
                <w:sz w:val="24"/>
                <w:szCs w:val="24"/>
              </w:rPr>
            </w:pPr>
            <w:r w:rsidRPr="00C148DF">
              <w:rPr>
                <w:rFonts w:ascii="Times New Roman" w:hAnsi="Times New Roman" w:cs="Times New Roman"/>
                <w:iCs/>
                <w:noProof/>
                <w:sz w:val="24"/>
                <w:szCs w:val="24"/>
                <w:lang w:eastAsia="sk-SK"/>
              </w:rPr>
              <w:drawing>
                <wp:inline distT="0" distB="0" distL="0" distR="0" wp14:anchorId="733347D9" wp14:editId="1158446C">
                  <wp:extent cx="5151265" cy="1244009"/>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3506" cy="1259040"/>
                          </a:xfrm>
                          <a:prstGeom prst="rect">
                            <a:avLst/>
                          </a:prstGeom>
                          <a:noFill/>
                          <a:ln>
                            <a:noFill/>
                          </a:ln>
                        </pic:spPr>
                      </pic:pic>
                    </a:graphicData>
                  </a:graphic>
                </wp:inline>
              </w:drawing>
            </w:r>
          </w:p>
        </w:tc>
      </w:tr>
    </w:tbl>
    <w:p w14:paraId="46F0BDA8" w14:textId="77777777" w:rsidR="00B27340" w:rsidRPr="00C148DF" w:rsidRDefault="00B27340" w:rsidP="00B27340">
      <w:pPr>
        <w:rPr>
          <w:rFonts w:ascii="Times New Roman" w:hAnsi="Times New Roman" w:cs="Times New Roman"/>
          <w:sz w:val="24"/>
          <w:szCs w:val="24"/>
        </w:rPr>
      </w:pPr>
    </w:p>
    <w:p w14:paraId="1CA8ACBA"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 xml:space="preserve">Záväzný cieľ Európskej únie pre podiel energie z obnoviteľných zdrojov na hrubej konečnej energetickej spotrebe predstavuje v roku 2030 aspoň 32%. </w:t>
      </w:r>
    </w:p>
    <w:p w14:paraId="0DF7151E"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lastRenderedPageBreak/>
        <w:t>V návrhu INECP SR zo dňa 21.12.2018, ktorý pripravilo MH SR na základe povinností členských štátov EÚ v zmysle nariadenia EP a Rady (EÚ) 2018/1999 o riadení energetickej únie, si SR okrem iného stanovila príspevok k dosiahnutiu dekarbonizačných cieľov EÚ v roku 2030 na úrovni 18% podielu OZE na celkovej spotrebe energie v SR, čo predstavuje 25% podiel OZE na celkovej výrobe elektriny.</w:t>
      </w:r>
    </w:p>
    <w:p w14:paraId="5AF1E68E"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 xml:space="preserve">Komisia vo svojom posúdení návrhu INECP SR zo dňa 18.6.2019 odporučila výrazne zvýšiť úroveň ambícií SR na rok 2030 čo sa týka podielu OZE na celkovej spotrebe energie SR aspoň vo výške 24%, ako príspevok SR k cieľu EÚ. </w:t>
      </w:r>
    </w:p>
    <w:p w14:paraId="0D26BA71" w14:textId="77777777" w:rsidR="00B27340" w:rsidRPr="00C148DF" w:rsidRDefault="00B27340" w:rsidP="007F573E">
      <w:pPr>
        <w:jc w:val="both"/>
        <w:rPr>
          <w:rFonts w:ascii="Times New Roman" w:eastAsia="Times New Roman" w:hAnsi="Times New Roman" w:cs="Times New Roman"/>
          <w:noProof/>
          <w:sz w:val="24"/>
          <w:szCs w:val="24"/>
          <w:lang w:eastAsia="sk-SK"/>
        </w:rPr>
      </w:pPr>
      <w:r w:rsidRPr="00C148DF">
        <w:rPr>
          <w:rFonts w:ascii="Times New Roman" w:hAnsi="Times New Roman" w:cs="Times New Roman"/>
          <w:sz w:val="24"/>
          <w:szCs w:val="24"/>
        </w:rPr>
        <w:t>V prepracovanom návrhu INECP SR, ktorý bol dňa 11.12.2019 schválený Vládou SR, bol príspevok SR navýšený na 19,2% podielu OZE na konečnej spotrebe energie.</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B27340" w:rsidRPr="00C148DF" w14:paraId="68A4DE89" w14:textId="77777777" w:rsidTr="00B27340">
        <w:tc>
          <w:tcPr>
            <w:tcW w:w="9062" w:type="dxa"/>
          </w:tcPr>
          <w:p w14:paraId="21CB4743" w14:textId="77777777" w:rsidR="00B27340" w:rsidRPr="00C148DF" w:rsidRDefault="00B27340" w:rsidP="00B27340">
            <w:pPr>
              <w:pStyle w:val="Zkladntext3"/>
              <w:spacing w:after="240" w:line="259" w:lineRule="auto"/>
              <w:jc w:val="center"/>
              <w:rPr>
                <w:rFonts w:ascii="Times New Roman" w:hAnsi="Times New Roman" w:cs="Times New Roman"/>
                <w:iCs/>
                <w:sz w:val="24"/>
                <w:szCs w:val="24"/>
              </w:rPr>
            </w:pPr>
            <w:r w:rsidRPr="00C148DF">
              <w:rPr>
                <w:rFonts w:ascii="Times New Roman" w:hAnsi="Times New Roman" w:cs="Times New Roman"/>
                <w:iCs/>
                <w:noProof/>
                <w:sz w:val="24"/>
                <w:szCs w:val="24"/>
                <w:lang w:eastAsia="sk-SK"/>
              </w:rPr>
              <w:drawing>
                <wp:inline distT="0" distB="0" distL="0" distR="0" wp14:anchorId="0245AEFE" wp14:editId="4656EBE3">
                  <wp:extent cx="4635795" cy="2583711"/>
                  <wp:effectExtent l="0" t="0" r="0" b="7620"/>
                  <wp:docPr id="233" name="Obrázo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l="1991" t="2033" r="1548" b="52973"/>
                          <a:stretch/>
                        </pic:blipFill>
                        <pic:spPr bwMode="auto">
                          <a:xfrm>
                            <a:off x="0" y="0"/>
                            <a:ext cx="4645981" cy="2589388"/>
                          </a:xfrm>
                          <a:prstGeom prst="rect">
                            <a:avLst/>
                          </a:prstGeom>
                          <a:noFill/>
                          <a:ln>
                            <a:noFill/>
                          </a:ln>
                          <a:extLst>
                            <a:ext uri="{53640926-AAD7-44D8-BBD7-CCE9431645EC}">
                              <a14:shadowObscured xmlns:a14="http://schemas.microsoft.com/office/drawing/2010/main"/>
                            </a:ext>
                          </a:extLst>
                        </pic:spPr>
                      </pic:pic>
                    </a:graphicData>
                  </a:graphic>
                </wp:inline>
              </w:drawing>
            </w:r>
          </w:p>
          <w:p w14:paraId="0E799063"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iCs/>
                <w:noProof/>
                <w:sz w:val="24"/>
                <w:szCs w:val="24"/>
                <w:lang w:eastAsia="sk-SK"/>
              </w:rPr>
              <w:drawing>
                <wp:inline distT="0" distB="0" distL="0" distR="0" wp14:anchorId="0FA4445A" wp14:editId="2BDEF5DB">
                  <wp:extent cx="4657061" cy="2636873"/>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l="1328" t="51102" r="1770" b="2979"/>
                          <a:stretch/>
                        </pic:blipFill>
                        <pic:spPr bwMode="auto">
                          <a:xfrm>
                            <a:off x="0" y="0"/>
                            <a:ext cx="4667292" cy="26426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7340" w:rsidRPr="00C148DF" w14:paraId="6ECED429" w14:textId="77777777" w:rsidTr="00B27340">
        <w:tc>
          <w:tcPr>
            <w:tcW w:w="9062" w:type="dxa"/>
          </w:tcPr>
          <w:p w14:paraId="17FA0CEE"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b/>
                <w:iCs/>
                <w:sz w:val="24"/>
                <w:szCs w:val="24"/>
              </w:rPr>
              <w:t xml:space="preserve">Obr. 2.4  </w:t>
            </w:r>
            <w:r w:rsidRPr="00C148DF">
              <w:rPr>
                <w:rFonts w:ascii="Times New Roman" w:hAnsi="Times New Roman" w:cs="Times New Roman"/>
                <w:iCs/>
                <w:sz w:val="24"/>
                <w:szCs w:val="24"/>
              </w:rPr>
              <w:t>Predpokladaný vývoj inštalovaného výkonu a výroby elektriny z OZE v SR podľa INECP v období do roku 2030</w:t>
            </w:r>
          </w:p>
        </w:tc>
      </w:tr>
    </w:tbl>
    <w:p w14:paraId="0FAE1099" w14:textId="77777777" w:rsidR="00B27340" w:rsidRPr="00C148DF" w:rsidRDefault="00B27340" w:rsidP="007F573E">
      <w:pPr>
        <w:spacing w:before="120"/>
        <w:jc w:val="both"/>
        <w:rPr>
          <w:rFonts w:ascii="Times New Roman" w:eastAsia="Times New Roman" w:hAnsi="Times New Roman" w:cs="Times New Roman"/>
          <w:iCs/>
          <w:sz w:val="24"/>
          <w:szCs w:val="24"/>
          <w:lang w:eastAsia="cs-CZ"/>
        </w:rPr>
      </w:pPr>
      <w:r w:rsidRPr="00C148DF">
        <w:rPr>
          <w:rFonts w:ascii="Times New Roman" w:eastAsia="Times New Roman" w:hAnsi="Times New Roman" w:cs="Times New Roman"/>
          <w:iCs/>
          <w:sz w:val="24"/>
          <w:szCs w:val="24"/>
          <w:lang w:eastAsia="cs-CZ"/>
        </w:rPr>
        <w:lastRenderedPageBreak/>
        <w:t>V ďalších častiach tejto správy je uvažované s inštalovaným výkonom OZE podľa predpokladov PPS, ktoré sa v celkových hodnotách inštalovaného výkonu OZE približujú hodnotám podľa návrhu INECP SR.</w:t>
      </w:r>
    </w:p>
    <w:p w14:paraId="23BF800C"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Vyššie uvedené zmeny, predovšetkým komerčná prevádzka blokov č. 3 a 4 JE Mochovce, výrazne zmenia výkonovú bilanciu Slovenska. V období rokov 2007 až 2019 mala ES SR importný charakter. Výraznejší pokles importného salda však nastane už po uvedení tretieho bloku JE Mochovce do prevádzky. Komerčná výroba elektriny v štvrtom bloku JE Mochovce,  bude znamenať zmenu importného charakteru bilancie ES SR na exportný.</w:t>
      </w:r>
    </w:p>
    <w:p w14:paraId="04A00443"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 xml:space="preserve">Limitujúcim miestom ES SR pre export vyrobenej elektriny,  môže byť medzištátny profil Slovensko – Maďarsko. K posilneniu prepojenia dôjde uvedením nových vedení 2x400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Gabčíkovo (SK) – </w:t>
      </w:r>
      <w:proofErr w:type="spellStart"/>
      <w:r w:rsidRPr="00C148DF">
        <w:rPr>
          <w:rFonts w:ascii="Times New Roman" w:hAnsi="Times New Roman" w:cs="Times New Roman"/>
          <w:sz w:val="24"/>
          <w:szCs w:val="24"/>
        </w:rPr>
        <w:t>Gönyű</w:t>
      </w:r>
      <w:proofErr w:type="spellEnd"/>
      <w:r w:rsidRPr="00C148DF">
        <w:rPr>
          <w:rFonts w:ascii="Times New Roman" w:hAnsi="Times New Roman" w:cs="Times New Roman"/>
          <w:sz w:val="24"/>
          <w:szCs w:val="24"/>
        </w:rPr>
        <w:t xml:space="preserve"> (HU) – Veľký Ďur (SK) a 2x400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Rimavská Sobota (SK) – </w:t>
      </w:r>
      <w:proofErr w:type="spellStart"/>
      <w:r w:rsidRPr="00C148DF">
        <w:rPr>
          <w:rFonts w:ascii="Times New Roman" w:hAnsi="Times New Roman" w:cs="Times New Roman"/>
          <w:sz w:val="24"/>
          <w:szCs w:val="24"/>
        </w:rPr>
        <w:t>Sajóivánka</w:t>
      </w:r>
      <w:proofErr w:type="spellEnd"/>
      <w:r w:rsidRPr="00C148DF">
        <w:rPr>
          <w:rFonts w:ascii="Times New Roman" w:hAnsi="Times New Roman" w:cs="Times New Roman"/>
          <w:sz w:val="24"/>
          <w:szCs w:val="24"/>
        </w:rPr>
        <w:t xml:space="preserve"> (HU) do prevádzky v termíne 12/2020 (pozri tiež kapitolu 4.2 Cezhraničné investičné zámery prevádzkovateľa PS). Vzhľadom na súčasný harmonogram uvedenia blokov č. 3 a 4 JE Mochovce do prevádzky, si situácia pravdepodobne nebude vyžadovať realizáciu zásadných opatrení pre zaistenie bezpečnej a spoľahlivej prevádzky ES SR.</w:t>
      </w:r>
    </w:p>
    <w:p w14:paraId="09D01ECA" w14:textId="77777777" w:rsidR="00B27340" w:rsidRPr="00C148DF" w:rsidRDefault="00B27340" w:rsidP="00B27340">
      <w:pPr>
        <w:spacing w:before="120" w:after="0"/>
        <w:rPr>
          <w:rFonts w:ascii="Times New Roman" w:hAnsi="Times New Roman" w:cs="Times New Roman"/>
          <w:iCs/>
          <w:sz w:val="24"/>
          <w:szCs w:val="24"/>
        </w:rPr>
      </w:pPr>
      <w:r w:rsidRPr="00C148DF">
        <w:rPr>
          <w:rFonts w:ascii="Times New Roman" w:hAnsi="Times New Roman" w:cs="Times New Roman"/>
          <w:b/>
          <w:iCs/>
          <w:sz w:val="24"/>
          <w:szCs w:val="24"/>
        </w:rPr>
        <w:t>Tab. 2.2  </w:t>
      </w:r>
      <w:r w:rsidRPr="00C148DF">
        <w:rPr>
          <w:rFonts w:ascii="Times New Roman" w:hAnsi="Times New Roman" w:cs="Times New Roman"/>
          <w:iCs/>
          <w:sz w:val="24"/>
          <w:szCs w:val="24"/>
        </w:rPr>
        <w:t>Predpokladaná bilancia spotreby a výroby elektriny na obdobie piatich rokov [</w:t>
      </w:r>
      <w:proofErr w:type="spellStart"/>
      <w:r w:rsidRPr="00C148DF">
        <w:rPr>
          <w:rFonts w:ascii="Times New Roman" w:hAnsi="Times New Roman" w:cs="Times New Roman"/>
          <w:iCs/>
          <w:sz w:val="24"/>
          <w:szCs w:val="24"/>
        </w:rPr>
        <w:t>TWh</w:t>
      </w:r>
      <w:proofErr w:type="spellEnd"/>
      <w:r w:rsidRPr="00C148DF">
        <w:rPr>
          <w:rFonts w:ascii="Times New Roman" w:hAnsi="Times New Roman" w:cs="Times New Roman"/>
          <w:iCs/>
          <w:sz w:val="24"/>
          <w:szCs w:val="24"/>
        </w:rPr>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2"/>
      </w:tblGrid>
      <w:tr w:rsidR="00B27340" w:rsidRPr="00C148DF" w14:paraId="1524E6BF" w14:textId="77777777" w:rsidTr="00B27340">
        <w:trPr>
          <w:trHeight w:val="938"/>
        </w:trPr>
        <w:tc>
          <w:tcPr>
            <w:tcW w:w="9062" w:type="dxa"/>
            <w:vAlign w:val="center"/>
          </w:tcPr>
          <w:p w14:paraId="1039D173"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noProof/>
                <w:sz w:val="24"/>
                <w:szCs w:val="24"/>
                <w:lang w:eastAsia="sk-SK"/>
              </w:rPr>
              <w:drawing>
                <wp:inline distT="0" distB="0" distL="0" distR="0" wp14:anchorId="238A9F23" wp14:editId="1807CD9F">
                  <wp:extent cx="5658928" cy="844152"/>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1345" cy="847496"/>
                          </a:xfrm>
                          <a:prstGeom prst="rect">
                            <a:avLst/>
                          </a:prstGeom>
                          <a:noFill/>
                          <a:ln>
                            <a:noFill/>
                          </a:ln>
                        </pic:spPr>
                      </pic:pic>
                    </a:graphicData>
                  </a:graphic>
                </wp:inline>
              </w:drawing>
            </w:r>
          </w:p>
        </w:tc>
      </w:tr>
    </w:tbl>
    <w:p w14:paraId="43B4E92E" w14:textId="77777777" w:rsidR="00B27340" w:rsidRPr="00B8646A" w:rsidRDefault="00B27340" w:rsidP="005F0557">
      <w:pPr>
        <w:pStyle w:val="Nadpis2"/>
        <w:numPr>
          <w:ilvl w:val="1"/>
          <w:numId w:val="12"/>
        </w:numPr>
        <w:spacing w:before="240" w:after="120" w:line="259" w:lineRule="auto"/>
        <w:ind w:left="578" w:hanging="578"/>
        <w:jc w:val="both"/>
        <w:rPr>
          <w:rFonts w:ascii="Times New Roman" w:hAnsi="Times New Roman" w:cs="Times New Roman"/>
          <w:b/>
          <w:color w:val="000000" w:themeColor="text1"/>
          <w:sz w:val="24"/>
          <w:szCs w:val="24"/>
        </w:rPr>
      </w:pPr>
      <w:bookmarkStart w:id="13" w:name="_Toc46594168"/>
      <w:r w:rsidRPr="00B8646A">
        <w:rPr>
          <w:rFonts w:ascii="Times New Roman" w:hAnsi="Times New Roman" w:cs="Times New Roman"/>
          <w:b/>
          <w:color w:val="000000" w:themeColor="text1"/>
          <w:sz w:val="24"/>
          <w:szCs w:val="24"/>
        </w:rPr>
        <w:t>Podporné služby</w:t>
      </w:r>
      <w:bookmarkEnd w:id="13"/>
    </w:p>
    <w:p w14:paraId="0E62619B"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 xml:space="preserve">V oblasti dostatočnosti požadovaného objemu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dochádza medziročne k jej zlepšovaniu aj vďaka opatreniam prijímaným na strane prevádzkovateľa PS. V niektorých mesiacoch roka však tento objem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nebol naplnený. Dôvody sú nasledovné:</w:t>
      </w:r>
    </w:p>
    <w:p w14:paraId="6F472D41" w14:textId="77777777" w:rsidR="00B27340" w:rsidRPr="00C148DF" w:rsidRDefault="00B27340" w:rsidP="005F0557">
      <w:pPr>
        <w:pStyle w:val="Zkladntext3"/>
        <w:numPr>
          <w:ilvl w:val="0"/>
          <w:numId w:val="9"/>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nestála prevádzka elektrární predovšetkým na báze spaľovania zemného plynu z dôvodu vyšších nákladov na výrobu elektriny voči cene silovej elektriny na trhu,</w:t>
      </w:r>
    </w:p>
    <w:p w14:paraId="18A00E6D" w14:textId="77777777" w:rsidR="00B27340" w:rsidRPr="00C148DF" w:rsidRDefault="00B27340" w:rsidP="005F0557">
      <w:pPr>
        <w:pStyle w:val="Zkladntext3"/>
        <w:numPr>
          <w:ilvl w:val="0"/>
          <w:numId w:val="9"/>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odstávky teplární počas letného obdobia,</w:t>
      </w:r>
    </w:p>
    <w:p w14:paraId="4F563028" w14:textId="77777777" w:rsidR="00B27340" w:rsidRPr="00C148DF" w:rsidRDefault="00B27340" w:rsidP="005F0557">
      <w:pPr>
        <w:pStyle w:val="Zkladntext3"/>
        <w:numPr>
          <w:ilvl w:val="0"/>
          <w:numId w:val="9"/>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prevádzka elektrární na nižšom výkone,</w:t>
      </w:r>
    </w:p>
    <w:p w14:paraId="38825017" w14:textId="77777777" w:rsidR="00B27340" w:rsidRPr="00C148DF" w:rsidRDefault="00B27340" w:rsidP="005F0557">
      <w:pPr>
        <w:pStyle w:val="Zkladntext3"/>
        <w:numPr>
          <w:ilvl w:val="0"/>
          <w:numId w:val="9"/>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 xml:space="preserve">poruchy a výpadky na zariadeniach poskytujúcich </w:t>
      </w:r>
      <w:proofErr w:type="spellStart"/>
      <w:r w:rsidRPr="00C148DF">
        <w:rPr>
          <w:rFonts w:ascii="Times New Roman" w:hAnsi="Times New Roman" w:cs="Times New Roman"/>
          <w:iCs/>
          <w:sz w:val="24"/>
          <w:szCs w:val="24"/>
        </w:rPr>
        <w:t>PpS</w:t>
      </w:r>
      <w:proofErr w:type="spellEnd"/>
      <w:r w:rsidRPr="00C148DF">
        <w:rPr>
          <w:rFonts w:ascii="Times New Roman" w:hAnsi="Times New Roman" w:cs="Times New Roman"/>
          <w:iCs/>
          <w:sz w:val="24"/>
          <w:szCs w:val="24"/>
        </w:rPr>
        <w:t>,</w:t>
      </w:r>
    </w:p>
    <w:p w14:paraId="7A4748DC" w14:textId="77777777" w:rsidR="00B27340" w:rsidRPr="00C148DF" w:rsidRDefault="00B27340" w:rsidP="005F0557">
      <w:pPr>
        <w:pStyle w:val="Zkladntext3"/>
        <w:numPr>
          <w:ilvl w:val="0"/>
          <w:numId w:val="9"/>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neprevádzkovanie elektrární z dôvodu poklesu výkupných cien silovej elektriny na burze pod ich prevádzkové náklady,</w:t>
      </w:r>
    </w:p>
    <w:p w14:paraId="1BC31D34" w14:textId="77777777" w:rsidR="00B27340" w:rsidRDefault="00B27340" w:rsidP="005F0557">
      <w:pPr>
        <w:pStyle w:val="Zkladntext3"/>
        <w:numPr>
          <w:ilvl w:val="0"/>
          <w:numId w:val="9"/>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extrémne výkyvy počasia.</w:t>
      </w:r>
    </w:p>
    <w:p w14:paraId="27442258" w14:textId="21B81DA2" w:rsidR="00B27340" w:rsidRPr="00C148DF" w:rsidRDefault="00B8646A" w:rsidP="007F573E">
      <w:pPr>
        <w:jc w:val="both"/>
        <w:rPr>
          <w:rFonts w:ascii="Times New Roman" w:hAnsi="Times New Roman" w:cs="Times New Roman"/>
          <w:sz w:val="24"/>
          <w:szCs w:val="24"/>
        </w:rPr>
      </w:pPr>
      <w:r w:rsidRPr="00B8646A">
        <w:rPr>
          <w:rFonts w:ascii="Times New Roman" w:hAnsi="Times New Roman" w:cs="Times New Roman"/>
          <w:sz w:val="8"/>
          <w:szCs w:val="8"/>
        </w:rPr>
        <w:br/>
      </w:r>
      <w:r w:rsidR="00B27340" w:rsidRPr="00C148DF">
        <w:rPr>
          <w:rFonts w:ascii="Times New Roman" w:hAnsi="Times New Roman" w:cs="Times New Roman"/>
          <w:sz w:val="24"/>
          <w:szCs w:val="24"/>
        </w:rPr>
        <w:t xml:space="preserve">Prevádzka FVE, resp. VTE je spojená so zvýšenými nárokmi na rýchle </w:t>
      </w:r>
      <w:proofErr w:type="spellStart"/>
      <w:r w:rsidR="00B27340" w:rsidRPr="00C148DF">
        <w:rPr>
          <w:rFonts w:ascii="Times New Roman" w:hAnsi="Times New Roman" w:cs="Times New Roman"/>
          <w:sz w:val="24"/>
          <w:szCs w:val="24"/>
        </w:rPr>
        <w:t>PpS</w:t>
      </w:r>
      <w:proofErr w:type="spellEnd"/>
      <w:r w:rsidR="00B27340" w:rsidRPr="00C148DF">
        <w:rPr>
          <w:rFonts w:ascii="Times New Roman" w:hAnsi="Times New Roman" w:cs="Times New Roman"/>
          <w:sz w:val="24"/>
          <w:szCs w:val="24"/>
        </w:rPr>
        <w:t xml:space="preserve">, ktoré je potrebné zabezpečiť zariadeniami na výrobu elektriny s adekvátnymi regulačnými schopnosťami alebo jej dovozom zo zahraničia. Z prevádzkového hľadiska by najväčším rizikom mohla byť situácia, v ktorej by neregulovaná výstavba týchto zariadení na výrobu elektriny (FVE a VTE) prevládla nad prírastkami zariadení poskytujúcich </w:t>
      </w:r>
      <w:proofErr w:type="spellStart"/>
      <w:r w:rsidR="00B27340" w:rsidRPr="00C148DF">
        <w:rPr>
          <w:rFonts w:ascii="Times New Roman" w:hAnsi="Times New Roman" w:cs="Times New Roman"/>
          <w:sz w:val="24"/>
          <w:szCs w:val="24"/>
        </w:rPr>
        <w:t>PpS</w:t>
      </w:r>
      <w:proofErr w:type="spellEnd"/>
      <w:r w:rsidR="00B27340" w:rsidRPr="00C148DF">
        <w:rPr>
          <w:rFonts w:ascii="Times New Roman" w:hAnsi="Times New Roman" w:cs="Times New Roman"/>
          <w:sz w:val="24"/>
          <w:szCs w:val="24"/>
        </w:rPr>
        <w:t>.</w:t>
      </w:r>
    </w:p>
    <w:p w14:paraId="7BE64442"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lastRenderedPageBreak/>
        <w:t xml:space="preserve">V regulačnej oblasti SR sa pre potreby zabezpečenia dostatočného množstva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využíva aj regulácia na strane spotreby elektriny, a to terciárna regulácia zníženie odoberaného výkonu vybraného odberateľa elektriny (ZNO) a terciárna regulácia zvýšenie odoberaného výkonu vybraného odberateľa elektriny (ZVO).</w:t>
      </w:r>
    </w:p>
    <w:p w14:paraId="4BD5A451"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Nároky na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sa od ich obchodného vzniku (r. 2004) postupne zvyšujú. S nárastom inštalovaného výkonu vo FVE sa zvýšila požiadavka na objem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schopných reagovať na rýchle zmeny v sústave (predovšetkým TRV3MIN).</w:t>
      </w:r>
    </w:p>
    <w:p w14:paraId="5E0D9981"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 xml:space="preserve">Tab. 2.3 zobrazuje </w:t>
      </w:r>
      <w:proofErr w:type="spellStart"/>
      <w:r w:rsidRPr="00C148DF">
        <w:rPr>
          <w:rFonts w:ascii="Times New Roman" w:hAnsi="Times New Roman" w:cs="Times New Roman"/>
          <w:sz w:val="24"/>
          <w:szCs w:val="24"/>
        </w:rPr>
        <w:t>ÚRSO-m</w:t>
      </w:r>
      <w:proofErr w:type="spellEnd"/>
      <w:r w:rsidRPr="00C148DF">
        <w:rPr>
          <w:rFonts w:ascii="Times New Roman" w:hAnsi="Times New Roman" w:cs="Times New Roman"/>
          <w:sz w:val="24"/>
          <w:szCs w:val="24"/>
        </w:rPr>
        <w:t xml:space="preserve"> schválené požadované objemy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na nasledujúci rok, ktoré prevádzkovateľ PS zverejňuje na svojom webovom sídle v zmysle Zákona č. 251/2012 </w:t>
      </w:r>
      <w:proofErr w:type="spellStart"/>
      <w:r w:rsidRPr="00C148DF">
        <w:rPr>
          <w:rFonts w:ascii="Times New Roman" w:hAnsi="Times New Roman" w:cs="Times New Roman"/>
          <w:sz w:val="24"/>
          <w:szCs w:val="24"/>
        </w:rPr>
        <w:t>Z.z</w:t>
      </w:r>
      <w:proofErr w:type="spellEnd"/>
      <w:r w:rsidRPr="00C148DF">
        <w:rPr>
          <w:rFonts w:ascii="Times New Roman" w:hAnsi="Times New Roman" w:cs="Times New Roman"/>
          <w:sz w:val="24"/>
          <w:szCs w:val="24"/>
        </w:rPr>
        <w:t xml:space="preserve">. o energetike a doplnení niektorých zákonov vždy do 30.9. aktuálneho roku. </w:t>
      </w:r>
    </w:p>
    <w:p w14:paraId="4AC6E126" w14:textId="77777777" w:rsidR="00B27340" w:rsidRPr="00C148DF" w:rsidRDefault="00B27340" w:rsidP="00B27340">
      <w:pPr>
        <w:pStyle w:val="Zkladntext3"/>
        <w:spacing w:line="259" w:lineRule="auto"/>
        <w:rPr>
          <w:rFonts w:ascii="Times New Roman" w:hAnsi="Times New Roman" w:cs="Times New Roman"/>
          <w:iCs/>
          <w:sz w:val="24"/>
          <w:szCs w:val="24"/>
        </w:rPr>
      </w:pPr>
      <w:r w:rsidRPr="00C148DF">
        <w:rPr>
          <w:rFonts w:ascii="Times New Roman" w:hAnsi="Times New Roman" w:cs="Times New Roman"/>
          <w:b/>
          <w:iCs/>
          <w:sz w:val="24"/>
          <w:szCs w:val="24"/>
        </w:rPr>
        <w:t>Tab. 2.3  </w:t>
      </w:r>
      <w:r w:rsidRPr="00C148DF">
        <w:rPr>
          <w:rFonts w:ascii="Times New Roman" w:hAnsi="Times New Roman" w:cs="Times New Roman"/>
          <w:iCs/>
          <w:sz w:val="24"/>
          <w:szCs w:val="24"/>
        </w:rPr>
        <w:t>Vážené priemery podporných služieb v rokoch 2005 - 2020 (MW)</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9072"/>
      </w:tblGrid>
      <w:tr w:rsidR="00B27340" w:rsidRPr="00C148DF" w14:paraId="1BC4A83C" w14:textId="77777777" w:rsidTr="00B27340">
        <w:trPr>
          <w:trHeight w:val="57"/>
        </w:trPr>
        <w:tc>
          <w:tcPr>
            <w:tcW w:w="9072" w:type="dxa"/>
          </w:tcPr>
          <w:p w14:paraId="4AB84F3D" w14:textId="77777777" w:rsidR="00B27340" w:rsidRPr="00C148DF" w:rsidRDefault="00B27340" w:rsidP="00B27340">
            <w:pPr>
              <w:pStyle w:val="Zkladntext3"/>
              <w:contextualSpacing/>
              <w:jc w:val="center"/>
              <w:rPr>
                <w:rFonts w:ascii="Times New Roman" w:hAnsi="Times New Roman" w:cs="Times New Roman"/>
                <w:iCs/>
                <w:sz w:val="24"/>
                <w:szCs w:val="24"/>
              </w:rPr>
            </w:pPr>
            <w:r w:rsidRPr="00C148DF">
              <w:rPr>
                <w:rFonts w:ascii="Times New Roman" w:hAnsi="Times New Roman" w:cs="Times New Roman"/>
                <w:iCs/>
                <w:noProof/>
                <w:sz w:val="24"/>
                <w:szCs w:val="24"/>
                <w:lang w:eastAsia="sk-SK"/>
              </w:rPr>
              <w:drawing>
                <wp:inline distT="0" distB="0" distL="0" distR="0" wp14:anchorId="7E68004F" wp14:editId="76E0D5B3">
                  <wp:extent cx="5761355" cy="3127375"/>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355" cy="3127375"/>
                          </a:xfrm>
                          <a:prstGeom prst="rect">
                            <a:avLst/>
                          </a:prstGeom>
                          <a:noFill/>
                        </pic:spPr>
                      </pic:pic>
                    </a:graphicData>
                  </a:graphic>
                </wp:inline>
              </w:drawing>
            </w:r>
          </w:p>
        </w:tc>
      </w:tr>
    </w:tbl>
    <w:p w14:paraId="6276CDCD" w14:textId="77777777" w:rsidR="00B27340" w:rsidRPr="00C148DF" w:rsidRDefault="00B27340" w:rsidP="00B27340">
      <w:pPr>
        <w:spacing w:after="0"/>
        <w:rPr>
          <w:rFonts w:ascii="Times New Roman" w:hAnsi="Times New Roman" w:cs="Times New Roman"/>
          <w:sz w:val="24"/>
          <w:szCs w:val="24"/>
        </w:rPr>
      </w:pPr>
    </w:p>
    <w:p w14:paraId="02C220AC"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 xml:space="preserve">Prínosom k zvýšeniu bezpečnosti prevádzky ES SR a najmä k zníženiu potreby aktivácie regulačného výkonu v SRV a počtu aktivácií TRV bolo zapojenie sa do projektu cezhraničnej výmeny regulačnej elektriny v systéme </w:t>
      </w:r>
      <w:proofErr w:type="spellStart"/>
      <w:r w:rsidRPr="00C148DF">
        <w:rPr>
          <w:rFonts w:ascii="Times New Roman" w:hAnsi="Times New Roman" w:cs="Times New Roman"/>
          <w:sz w:val="24"/>
          <w:szCs w:val="24"/>
        </w:rPr>
        <w:t>Grid</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Control</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Cooperation</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e</w:t>
      </w:r>
      <w:r w:rsidRPr="00C148DF">
        <w:rPr>
          <w:rFonts w:ascii="Times New Roman" w:hAnsi="Times New Roman" w:cs="Times New Roman"/>
          <w:sz w:val="24"/>
          <w:szCs w:val="24"/>
        </w:rPr>
        <w:noBreakHyphen/>
        <w:t>GCC</w:t>
      </w:r>
      <w:proofErr w:type="spellEnd"/>
      <w:r w:rsidRPr="00C148DF">
        <w:rPr>
          <w:rFonts w:ascii="Times New Roman" w:hAnsi="Times New Roman" w:cs="Times New Roman"/>
          <w:sz w:val="24"/>
          <w:szCs w:val="24"/>
        </w:rPr>
        <w:t xml:space="preserve">) začiatkom roka 2012. V systéme </w:t>
      </w:r>
      <w:proofErr w:type="spellStart"/>
      <w:r w:rsidRPr="00C148DF">
        <w:rPr>
          <w:rFonts w:ascii="Times New Roman" w:hAnsi="Times New Roman" w:cs="Times New Roman"/>
          <w:sz w:val="24"/>
          <w:szCs w:val="24"/>
        </w:rPr>
        <w:t>e-GCC</w:t>
      </w:r>
      <w:proofErr w:type="spellEnd"/>
      <w:r w:rsidRPr="00C148DF">
        <w:rPr>
          <w:rFonts w:ascii="Times New Roman" w:hAnsi="Times New Roman" w:cs="Times New Roman"/>
          <w:sz w:val="24"/>
          <w:szCs w:val="24"/>
        </w:rPr>
        <w:t xml:space="preserve"> spočiatku spolupracovali iba prevádzkovatelia prenosových sústav Česka a Slovenska. O rok neskôr do systému </w:t>
      </w:r>
      <w:proofErr w:type="spellStart"/>
      <w:r w:rsidRPr="00C148DF">
        <w:rPr>
          <w:rFonts w:ascii="Times New Roman" w:hAnsi="Times New Roman" w:cs="Times New Roman"/>
          <w:sz w:val="24"/>
          <w:szCs w:val="24"/>
        </w:rPr>
        <w:t>e</w:t>
      </w:r>
      <w:r w:rsidRPr="00C148DF">
        <w:rPr>
          <w:rFonts w:ascii="Times New Roman" w:hAnsi="Times New Roman" w:cs="Times New Roman"/>
          <w:sz w:val="24"/>
          <w:szCs w:val="24"/>
        </w:rPr>
        <w:noBreakHyphen/>
        <w:t>GCC</w:t>
      </w:r>
      <w:proofErr w:type="spellEnd"/>
      <w:r w:rsidRPr="00C148DF">
        <w:rPr>
          <w:rFonts w:ascii="Times New Roman" w:hAnsi="Times New Roman" w:cs="Times New Roman"/>
          <w:sz w:val="24"/>
          <w:szCs w:val="24"/>
        </w:rPr>
        <w:t xml:space="preserve"> vstúpil aj prevádzkovateľ prenosovej sústavy Maďarska.</w:t>
      </w:r>
    </w:p>
    <w:p w14:paraId="6C6C08E0"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 xml:space="preserve">Pred zapojením sa do systému </w:t>
      </w:r>
      <w:proofErr w:type="spellStart"/>
      <w:r w:rsidRPr="00C148DF">
        <w:rPr>
          <w:rFonts w:ascii="Times New Roman" w:hAnsi="Times New Roman" w:cs="Times New Roman"/>
          <w:sz w:val="24"/>
          <w:szCs w:val="24"/>
        </w:rPr>
        <w:t>e-GCC</w:t>
      </w:r>
      <w:proofErr w:type="spellEnd"/>
      <w:r w:rsidRPr="00C148DF">
        <w:rPr>
          <w:rFonts w:ascii="Times New Roman" w:hAnsi="Times New Roman" w:cs="Times New Roman"/>
          <w:sz w:val="24"/>
          <w:szCs w:val="24"/>
        </w:rPr>
        <w:t xml:space="preserve"> presahoval počet aktivácií TRV úroveň 1 500 za rok (napríklad v roku 2010 to bolo až 1 867). Už v prvom roku prevádzky </w:t>
      </w:r>
      <w:proofErr w:type="spellStart"/>
      <w:r w:rsidRPr="00C148DF">
        <w:rPr>
          <w:rFonts w:ascii="Times New Roman" w:hAnsi="Times New Roman" w:cs="Times New Roman"/>
          <w:sz w:val="24"/>
          <w:szCs w:val="24"/>
        </w:rPr>
        <w:t>e-GCC</w:t>
      </w:r>
      <w:proofErr w:type="spellEnd"/>
      <w:r w:rsidRPr="00C148DF">
        <w:rPr>
          <w:rFonts w:ascii="Times New Roman" w:hAnsi="Times New Roman" w:cs="Times New Roman"/>
          <w:sz w:val="24"/>
          <w:szCs w:val="24"/>
        </w:rPr>
        <w:t xml:space="preserve"> sa počet aktivácií TRV oproti roku 2011 znížil o 225. V ďalších rokoch bol pokles počtu aktivácií ešte výraznejší.</w:t>
      </w:r>
    </w:p>
    <w:p w14:paraId="079D6188"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 xml:space="preserve">Počet aktivácií TRV v roku 2019 dosiahol hodnotu 182, čo je o 113 aktivácii menej ako v roku 2018. Najväčší podiel aktivácií TRV bolo zaznamenaných v mesiacoch máj (28 krát), január (22 krát) a december (19 krát). Najnižšia potreba aktivácie bola zaznamenaná v mesiaci júl (4 krát). </w:t>
      </w:r>
      <w:r w:rsidRPr="00C148DF">
        <w:rPr>
          <w:rFonts w:ascii="Times New Roman" w:hAnsi="Times New Roman" w:cs="Times New Roman"/>
          <w:sz w:val="24"/>
          <w:szCs w:val="24"/>
        </w:rPr>
        <w:lastRenderedPageBreak/>
        <w:t xml:space="preserve">Najviac sa pochopiteľne využívala najrýchlejšia TRV3MIN± (100 krát), nasledovala TRV15MIN± (57 krát), TRV10MIN± (14 krát). K zníženiu odoberaného výkonu prišlo (11 krát). </w:t>
      </w:r>
    </w:p>
    <w:p w14:paraId="3BB354E1"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 xml:space="preserve">Prevádzka </w:t>
      </w:r>
      <w:proofErr w:type="spellStart"/>
      <w:r w:rsidRPr="00C148DF">
        <w:rPr>
          <w:rFonts w:ascii="Times New Roman" w:hAnsi="Times New Roman" w:cs="Times New Roman"/>
          <w:sz w:val="24"/>
          <w:szCs w:val="24"/>
        </w:rPr>
        <w:t>e-GCC</w:t>
      </w:r>
      <w:proofErr w:type="spellEnd"/>
      <w:r w:rsidRPr="00C148DF">
        <w:rPr>
          <w:rFonts w:ascii="Times New Roman" w:hAnsi="Times New Roman" w:cs="Times New Roman"/>
          <w:sz w:val="24"/>
          <w:szCs w:val="24"/>
        </w:rPr>
        <w:t xml:space="preserve"> bola však ukončená, a to z dôvodu zapojenia sa do spoločného systému s názvom </w:t>
      </w:r>
      <w:proofErr w:type="spellStart"/>
      <w:r w:rsidRPr="00C148DF">
        <w:rPr>
          <w:rFonts w:ascii="Times New Roman" w:hAnsi="Times New Roman" w:cs="Times New Roman"/>
          <w:sz w:val="24"/>
          <w:szCs w:val="24"/>
        </w:rPr>
        <w:t>International</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Grid</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Control</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Cooperation</w:t>
      </w:r>
      <w:proofErr w:type="spellEnd"/>
      <w:r w:rsidRPr="00C148DF">
        <w:rPr>
          <w:rFonts w:ascii="Times New Roman" w:hAnsi="Times New Roman" w:cs="Times New Roman"/>
          <w:sz w:val="24"/>
          <w:szCs w:val="24"/>
        </w:rPr>
        <w:t xml:space="preserve"> (IGCC) založenej na optimalizácii aktivácie podporných služieb, konkrétne sekundárnej regulácie výkonu (SRV).  Spoločnosť SEPS sa do spolupráce v IGCC pripojila dňa 13.5.2020.</w:t>
      </w:r>
    </w:p>
    <w:p w14:paraId="69CC1799" w14:textId="77777777" w:rsidR="00B27340" w:rsidRDefault="00B27340" w:rsidP="007F573E">
      <w:pPr>
        <w:spacing w:after="0"/>
        <w:jc w:val="both"/>
        <w:rPr>
          <w:rFonts w:ascii="Times New Roman" w:hAnsi="Times New Roman" w:cs="Times New Roman"/>
          <w:b/>
          <w:sz w:val="24"/>
          <w:szCs w:val="24"/>
        </w:rPr>
      </w:pPr>
      <w:r w:rsidRPr="00C148DF">
        <w:rPr>
          <w:rFonts w:ascii="Times New Roman" w:hAnsi="Times New Roman" w:cs="Times New Roman"/>
          <w:b/>
          <w:sz w:val="24"/>
          <w:szCs w:val="24"/>
        </w:rPr>
        <w:t xml:space="preserve">Predpokladaná disponibilita </w:t>
      </w:r>
      <w:proofErr w:type="spellStart"/>
      <w:r w:rsidRPr="00C148DF">
        <w:rPr>
          <w:rFonts w:ascii="Times New Roman" w:hAnsi="Times New Roman" w:cs="Times New Roman"/>
          <w:b/>
          <w:sz w:val="24"/>
          <w:szCs w:val="24"/>
        </w:rPr>
        <w:t>PpS</w:t>
      </w:r>
      <w:proofErr w:type="spellEnd"/>
    </w:p>
    <w:p w14:paraId="4AA9F6DD" w14:textId="77777777" w:rsidR="00B8646A" w:rsidRPr="00B8646A" w:rsidRDefault="00B8646A" w:rsidP="007F573E">
      <w:pPr>
        <w:spacing w:after="0"/>
        <w:jc w:val="both"/>
        <w:rPr>
          <w:rFonts w:ascii="Times New Roman" w:hAnsi="Times New Roman" w:cs="Times New Roman"/>
          <w:b/>
          <w:sz w:val="8"/>
          <w:szCs w:val="8"/>
        </w:rPr>
      </w:pPr>
    </w:p>
    <w:p w14:paraId="55B23CF2"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 xml:space="preserve">Vyhodnotenie predpokladanej disponibility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v prierezových  rokoch  2025 a 2030 v členení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platného pre rok 2019 vychádza z analýzy výsledkov optimalizácie pravdepodobného nasadenia dostupných výrobných jednotiek na základe ich technicko-ekonomických predpokladov a obmedzení pre pokrývanie predpokladaného zaťaženia v hodinovom rozlíšení, tzv. </w:t>
      </w:r>
      <w:proofErr w:type="spellStart"/>
      <w:r w:rsidRPr="00C148DF">
        <w:rPr>
          <w:rFonts w:ascii="Times New Roman" w:hAnsi="Times New Roman" w:cs="Times New Roman"/>
          <w:sz w:val="24"/>
          <w:szCs w:val="24"/>
        </w:rPr>
        <w:t>market-simulácia</w:t>
      </w:r>
      <w:proofErr w:type="spellEnd"/>
      <w:r w:rsidRPr="00C148DF">
        <w:rPr>
          <w:rFonts w:ascii="Times New Roman" w:hAnsi="Times New Roman" w:cs="Times New Roman"/>
          <w:sz w:val="24"/>
          <w:szCs w:val="24"/>
        </w:rPr>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072"/>
      </w:tblGrid>
      <w:tr w:rsidR="00B27340" w:rsidRPr="00C148DF" w14:paraId="6A0DBCF7" w14:textId="77777777" w:rsidTr="00B27340">
        <w:trPr>
          <w:trHeight w:val="1144"/>
        </w:trPr>
        <w:tc>
          <w:tcPr>
            <w:tcW w:w="9072" w:type="dxa"/>
          </w:tcPr>
          <w:p w14:paraId="31D8ED20"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iCs/>
                <w:noProof/>
                <w:sz w:val="24"/>
                <w:szCs w:val="24"/>
                <w:lang w:eastAsia="sk-SK"/>
              </w:rPr>
              <w:drawing>
                <wp:inline distT="0" distB="0" distL="0" distR="0" wp14:anchorId="2A732FBC" wp14:editId="1FFB14F1">
                  <wp:extent cx="5473525" cy="376237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1703" b="2189"/>
                          <a:stretch/>
                        </pic:blipFill>
                        <pic:spPr bwMode="auto">
                          <a:xfrm>
                            <a:off x="0" y="0"/>
                            <a:ext cx="5480685" cy="37672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7340" w:rsidRPr="00C148DF" w14:paraId="735DA7DE" w14:textId="77777777" w:rsidTr="00B27340">
        <w:trPr>
          <w:trHeight w:val="295"/>
        </w:trPr>
        <w:tc>
          <w:tcPr>
            <w:tcW w:w="9072" w:type="dxa"/>
          </w:tcPr>
          <w:p w14:paraId="2C172F7E"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b/>
                <w:iCs/>
                <w:sz w:val="24"/>
                <w:szCs w:val="24"/>
              </w:rPr>
              <w:t xml:space="preserve">Obr. 2.5  </w:t>
            </w:r>
            <w:r w:rsidRPr="00C148DF">
              <w:rPr>
                <w:rFonts w:ascii="Times New Roman" w:hAnsi="Times New Roman" w:cs="Times New Roman"/>
                <w:iCs/>
                <w:sz w:val="24"/>
                <w:szCs w:val="24"/>
              </w:rPr>
              <w:t xml:space="preserve">Predpokladaná disponibilita </w:t>
            </w:r>
            <w:proofErr w:type="spellStart"/>
            <w:r w:rsidRPr="00C148DF">
              <w:rPr>
                <w:rFonts w:ascii="Times New Roman" w:hAnsi="Times New Roman" w:cs="Times New Roman"/>
                <w:iCs/>
                <w:sz w:val="24"/>
                <w:szCs w:val="24"/>
              </w:rPr>
              <w:t>PpS</w:t>
            </w:r>
            <w:proofErr w:type="spellEnd"/>
            <w:r w:rsidRPr="00C148DF">
              <w:rPr>
                <w:rFonts w:ascii="Times New Roman" w:hAnsi="Times New Roman" w:cs="Times New Roman"/>
                <w:iCs/>
                <w:sz w:val="24"/>
                <w:szCs w:val="24"/>
              </w:rPr>
              <w:t xml:space="preserve"> v prierezovom roku 2025</w:t>
            </w:r>
          </w:p>
          <w:p w14:paraId="1085AD7F" w14:textId="77777777" w:rsidR="00B27340" w:rsidRPr="00C148DF" w:rsidRDefault="00B27340" w:rsidP="00B27340">
            <w:pPr>
              <w:pStyle w:val="Zkladntext3"/>
              <w:spacing w:line="259" w:lineRule="auto"/>
              <w:jc w:val="center"/>
              <w:rPr>
                <w:rFonts w:ascii="Times New Roman" w:hAnsi="Times New Roman" w:cs="Times New Roman"/>
                <w:b/>
                <w:iCs/>
                <w:sz w:val="24"/>
                <w:szCs w:val="24"/>
              </w:rPr>
            </w:pPr>
          </w:p>
        </w:tc>
      </w:tr>
      <w:tr w:rsidR="00B27340" w:rsidRPr="00C148DF" w14:paraId="27D9731F" w14:textId="77777777" w:rsidTr="00B27340">
        <w:trPr>
          <w:trHeight w:val="1144"/>
        </w:trPr>
        <w:tc>
          <w:tcPr>
            <w:tcW w:w="9072" w:type="dxa"/>
          </w:tcPr>
          <w:p w14:paraId="6AFDDB78"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iCs/>
                <w:noProof/>
                <w:sz w:val="24"/>
                <w:szCs w:val="24"/>
                <w:lang w:eastAsia="sk-SK"/>
              </w:rPr>
              <w:lastRenderedPageBreak/>
              <w:drawing>
                <wp:inline distT="0" distB="0" distL="0" distR="0" wp14:anchorId="7E5F2CA0" wp14:editId="243FF67B">
                  <wp:extent cx="5534025" cy="3752850"/>
                  <wp:effectExtent l="0" t="0" r="952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t="2410" b="2611"/>
                          <a:stretch/>
                        </pic:blipFill>
                        <pic:spPr bwMode="auto">
                          <a:xfrm>
                            <a:off x="0" y="0"/>
                            <a:ext cx="5541645" cy="37580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7340" w:rsidRPr="00C148DF" w14:paraId="26674D78" w14:textId="77777777" w:rsidTr="00B27340">
        <w:trPr>
          <w:trHeight w:val="295"/>
        </w:trPr>
        <w:tc>
          <w:tcPr>
            <w:tcW w:w="9072" w:type="dxa"/>
          </w:tcPr>
          <w:p w14:paraId="5C222EB9" w14:textId="77777777" w:rsidR="00B27340" w:rsidRPr="00C148DF" w:rsidRDefault="00B27340" w:rsidP="00B27340">
            <w:pPr>
              <w:pStyle w:val="Zkladntext3"/>
              <w:spacing w:after="240" w:line="259" w:lineRule="auto"/>
              <w:jc w:val="center"/>
              <w:rPr>
                <w:rFonts w:ascii="Times New Roman" w:hAnsi="Times New Roman" w:cs="Times New Roman"/>
                <w:b/>
                <w:iCs/>
                <w:sz w:val="24"/>
                <w:szCs w:val="24"/>
              </w:rPr>
            </w:pPr>
            <w:r w:rsidRPr="00C148DF">
              <w:rPr>
                <w:rFonts w:ascii="Times New Roman" w:hAnsi="Times New Roman" w:cs="Times New Roman"/>
                <w:b/>
                <w:iCs/>
                <w:sz w:val="24"/>
                <w:szCs w:val="24"/>
              </w:rPr>
              <w:t xml:space="preserve">Obr. 2.6  </w:t>
            </w:r>
            <w:r w:rsidRPr="00C148DF">
              <w:rPr>
                <w:rFonts w:ascii="Times New Roman" w:hAnsi="Times New Roman" w:cs="Times New Roman"/>
                <w:iCs/>
                <w:sz w:val="24"/>
                <w:szCs w:val="24"/>
              </w:rPr>
              <w:t xml:space="preserve">Predpokladaná disponibilita </w:t>
            </w:r>
            <w:proofErr w:type="spellStart"/>
            <w:r w:rsidRPr="00C148DF">
              <w:rPr>
                <w:rFonts w:ascii="Times New Roman" w:hAnsi="Times New Roman" w:cs="Times New Roman"/>
                <w:iCs/>
                <w:sz w:val="24"/>
                <w:szCs w:val="24"/>
              </w:rPr>
              <w:t>PpS</w:t>
            </w:r>
            <w:proofErr w:type="spellEnd"/>
            <w:r w:rsidRPr="00C148DF">
              <w:rPr>
                <w:rFonts w:ascii="Times New Roman" w:hAnsi="Times New Roman" w:cs="Times New Roman"/>
                <w:iCs/>
                <w:sz w:val="24"/>
                <w:szCs w:val="24"/>
              </w:rPr>
              <w:t xml:space="preserve"> v prierezovom roku 2030</w:t>
            </w:r>
          </w:p>
        </w:tc>
      </w:tr>
    </w:tbl>
    <w:p w14:paraId="6413BB66"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 xml:space="preserve">Na základe uvedenej analýzy disponibility jednotlivých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je zrejmé, že požadovaný objem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pre pokrytie všetkých predpokladaných požiadaviek v rámci 53 týždňov nebude možné zabezpečiť na 100 %.</w:t>
      </w:r>
    </w:p>
    <w:p w14:paraId="64092AD8" w14:textId="77777777" w:rsidR="00B27340" w:rsidRPr="00C148DF" w:rsidRDefault="00B27340" w:rsidP="007F573E">
      <w:pPr>
        <w:jc w:val="both"/>
        <w:rPr>
          <w:rFonts w:ascii="Times New Roman" w:hAnsi="Times New Roman" w:cs="Times New Roman"/>
          <w:sz w:val="24"/>
          <w:szCs w:val="24"/>
          <w:lang w:eastAsia="sk-SK"/>
        </w:rPr>
      </w:pPr>
      <w:r w:rsidRPr="00C148DF">
        <w:rPr>
          <w:rFonts w:ascii="Times New Roman" w:hAnsi="Times New Roman" w:cs="Times New Roman"/>
          <w:sz w:val="24"/>
          <w:szCs w:val="24"/>
          <w:lang w:eastAsia="sk-SK"/>
        </w:rPr>
        <w:t xml:space="preserve">Najväčší nedostatok </w:t>
      </w:r>
      <w:proofErr w:type="spellStart"/>
      <w:r w:rsidRPr="00C148DF">
        <w:rPr>
          <w:rFonts w:ascii="Times New Roman" w:hAnsi="Times New Roman" w:cs="Times New Roman"/>
          <w:sz w:val="24"/>
          <w:szCs w:val="24"/>
          <w:lang w:eastAsia="sk-SK"/>
        </w:rPr>
        <w:t>PpS</w:t>
      </w:r>
      <w:proofErr w:type="spellEnd"/>
      <w:r w:rsidRPr="00C148DF">
        <w:rPr>
          <w:rFonts w:ascii="Times New Roman" w:hAnsi="Times New Roman" w:cs="Times New Roman"/>
          <w:sz w:val="24"/>
          <w:szCs w:val="24"/>
          <w:lang w:eastAsia="sk-SK"/>
        </w:rPr>
        <w:t xml:space="preserve"> na základe analýz </w:t>
      </w:r>
      <w:proofErr w:type="spellStart"/>
      <w:r w:rsidRPr="00C148DF">
        <w:rPr>
          <w:rFonts w:ascii="Times New Roman" w:hAnsi="Times New Roman" w:cs="Times New Roman"/>
          <w:sz w:val="24"/>
          <w:szCs w:val="24"/>
          <w:lang w:eastAsia="sk-SK"/>
        </w:rPr>
        <w:t>market-simulácie</w:t>
      </w:r>
      <w:proofErr w:type="spellEnd"/>
      <w:r w:rsidRPr="00C148DF">
        <w:rPr>
          <w:rFonts w:ascii="Times New Roman" w:hAnsi="Times New Roman" w:cs="Times New Roman"/>
          <w:sz w:val="24"/>
          <w:szCs w:val="24"/>
          <w:lang w:eastAsia="sk-SK"/>
        </w:rPr>
        <w:t xml:space="preserve"> je indikovaný pre SRV+/</w:t>
      </w:r>
      <w:proofErr w:type="spellStart"/>
      <w:r w:rsidRPr="00C148DF">
        <w:rPr>
          <w:rFonts w:ascii="Times New Roman" w:hAnsi="Times New Roman" w:cs="Times New Roman"/>
          <w:sz w:val="24"/>
          <w:szCs w:val="24"/>
          <w:lang w:eastAsia="sk-SK"/>
        </w:rPr>
        <w:t>aFRR</w:t>
      </w:r>
      <w:proofErr w:type="spellEnd"/>
      <w:r w:rsidRPr="00C148DF">
        <w:rPr>
          <w:rFonts w:ascii="Times New Roman" w:hAnsi="Times New Roman" w:cs="Times New Roman"/>
          <w:sz w:val="24"/>
          <w:szCs w:val="24"/>
          <w:lang w:eastAsia="sk-SK"/>
        </w:rPr>
        <w:t>+ a to v 26. týždni vo výške 71 MW v roku 2025 a  74 MW v roku 2030. V prípade väčšieho nárastu FVE a VTE oproti očakávanému nárastu, by bol tento nedostatok omnoho vyšší.</w:t>
      </w:r>
    </w:p>
    <w:p w14:paraId="4EBD84CC"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 xml:space="preserve">V reálnej prevádzke by pravdepodobne bolo možné nahradiť chýbajúcu disponibilitu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jej aktiváciou na inom certifikovanom zariadení, ktoré sa uplatní na trhu s elektrickou energiou, rovnako tak využitím zahraničnej výpomoci, či už dovozom danej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prípadne nákupom NRE. Všetky uvedené možnosti by mohli dopomôcť k zníženiu nedostatku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w:t>
      </w:r>
    </w:p>
    <w:p w14:paraId="579C6844"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V rozmedzí rokov 2020 až 2022 budú zavedené do praxe zmeny vyplývajúce už v súčasnosti platných nariadení Komisie (EÚ), predovšetkým však z nariadenia č. 2017/2195. Uvedené nariadenie, ktorým sa ustanovuje usmernenie o zabezpečovaní rovnováhy v elektrizačnej sústave (</w:t>
      </w:r>
      <w:proofErr w:type="spellStart"/>
      <w:r w:rsidRPr="00C148DF">
        <w:rPr>
          <w:rFonts w:ascii="Times New Roman" w:hAnsi="Times New Roman" w:cs="Times New Roman"/>
          <w:sz w:val="24"/>
          <w:szCs w:val="24"/>
        </w:rPr>
        <w:t>Electricity</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Balancing</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Guideline</w:t>
      </w:r>
      <w:proofErr w:type="spellEnd"/>
      <w:r w:rsidRPr="00C148DF">
        <w:rPr>
          <w:rFonts w:ascii="Times New Roman" w:hAnsi="Times New Roman" w:cs="Times New Roman"/>
          <w:sz w:val="24"/>
          <w:szCs w:val="24"/>
        </w:rPr>
        <w:t xml:space="preserve"> – EBGL), vstúpilo do platnosti dňa 23.11.2017. EBGL definuje spoločné technické, prevádzkové a trhové pravidlá pre cezhraničný trh s regulačnou elektrinou v Európe, resp. v rámci ENTSO-E.</w:t>
      </w:r>
    </w:p>
    <w:p w14:paraId="2658D099"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t>Prijatím EBGL boli zároveň zavedené tzv. európske platformy, účelom ktorých je do národných sústav každej krajiny v rámci Európy implementovať spoločné a harmonizované pravidlá, umožňujúce koordináciu a bližšiu spoluprácu krajín Európy, resp. jednotlivých prevádzkovateľov prenosových sústav z hľadiska výmen regulačnej elektriny.</w:t>
      </w:r>
    </w:p>
    <w:p w14:paraId="38473388" w14:textId="77777777" w:rsidR="00B27340" w:rsidRPr="00C148DF" w:rsidRDefault="00B27340" w:rsidP="007F573E">
      <w:pPr>
        <w:jc w:val="both"/>
        <w:rPr>
          <w:rFonts w:ascii="Times New Roman" w:hAnsi="Times New Roman" w:cs="Times New Roman"/>
          <w:sz w:val="24"/>
          <w:szCs w:val="24"/>
        </w:rPr>
      </w:pPr>
      <w:r w:rsidRPr="00C148DF">
        <w:rPr>
          <w:rFonts w:ascii="Times New Roman" w:hAnsi="Times New Roman" w:cs="Times New Roman"/>
          <w:sz w:val="24"/>
          <w:szCs w:val="24"/>
        </w:rPr>
        <w:lastRenderedPageBreak/>
        <w:t xml:space="preserve">Jedna zo zavedených platforiem, z ktorej pre prevádzkovateľa PS SR vyplývajú úlohy, je platforma na výmenu regulačnej energie z rezerv na obnovenie frekvencie s automatickou aktiváciou (PICASSO – </w:t>
      </w:r>
      <w:proofErr w:type="spellStart"/>
      <w:r w:rsidRPr="00C148DF">
        <w:rPr>
          <w:rFonts w:ascii="Times New Roman" w:hAnsi="Times New Roman" w:cs="Times New Roman"/>
          <w:sz w:val="24"/>
          <w:szCs w:val="24"/>
        </w:rPr>
        <w:t>The</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Platform</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for</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the</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International</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Coordination</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of</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Automated</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Frequency</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Restoration</w:t>
      </w:r>
      <w:proofErr w:type="spellEnd"/>
      <w:r w:rsidRPr="00C148DF">
        <w:rPr>
          <w:rFonts w:ascii="Times New Roman" w:hAnsi="Times New Roman" w:cs="Times New Roman"/>
          <w:sz w:val="24"/>
          <w:szCs w:val="24"/>
        </w:rPr>
        <w:t xml:space="preserve"> and </w:t>
      </w:r>
      <w:proofErr w:type="spellStart"/>
      <w:r w:rsidRPr="00C148DF">
        <w:rPr>
          <w:rFonts w:ascii="Times New Roman" w:hAnsi="Times New Roman" w:cs="Times New Roman"/>
          <w:sz w:val="24"/>
          <w:szCs w:val="24"/>
        </w:rPr>
        <w:t>Stable</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System</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Operation</w:t>
      </w:r>
      <w:proofErr w:type="spellEnd"/>
      <w:r w:rsidRPr="00C148DF">
        <w:rPr>
          <w:rFonts w:ascii="Times New Roman" w:hAnsi="Times New Roman" w:cs="Times New Roman"/>
          <w:sz w:val="24"/>
          <w:szCs w:val="24"/>
        </w:rPr>
        <w:t xml:space="preserve">). </w:t>
      </w:r>
    </w:p>
    <w:p w14:paraId="1E90B9DB" w14:textId="77777777" w:rsidR="00B27340" w:rsidRPr="00C148DF" w:rsidRDefault="00B27340" w:rsidP="00366A4B">
      <w:pPr>
        <w:jc w:val="both"/>
        <w:rPr>
          <w:rFonts w:ascii="Times New Roman" w:hAnsi="Times New Roman" w:cs="Times New Roman"/>
          <w:sz w:val="24"/>
          <w:szCs w:val="24"/>
        </w:rPr>
      </w:pPr>
      <w:r w:rsidRPr="00C148DF">
        <w:rPr>
          <w:rFonts w:ascii="Times New Roman" w:hAnsi="Times New Roman" w:cs="Times New Roman"/>
          <w:sz w:val="24"/>
          <w:szCs w:val="24"/>
        </w:rPr>
        <w:t xml:space="preserve">Zmeny vyplývajúce z EBGL, boli v súčasnosti identifikované najmä v súvislosti so SRV± a povinnosťou jej rozdelenia na nesymetrické zložky SRV+ a SRV-. Z hľadiska dôležitých opatrení pri aplikácii tejto povinnosti, sa javí ako správne nastavenie regulovanej ceny obidvoch zložiek SRV voči ostatným typom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zo strany ÚRSO. SEPS tento spôsob obstarávania a poskytovania SRV umožní od 1.10.2020, dokedy mal </w:t>
      </w:r>
      <w:proofErr w:type="spellStart"/>
      <w:r w:rsidRPr="00C148DF">
        <w:rPr>
          <w:rFonts w:ascii="Times New Roman" w:hAnsi="Times New Roman" w:cs="Times New Roman"/>
          <w:sz w:val="24"/>
          <w:szCs w:val="24"/>
        </w:rPr>
        <w:t>ÚRSO-m</w:t>
      </w:r>
      <w:proofErr w:type="spellEnd"/>
      <w:r w:rsidRPr="00C148DF">
        <w:rPr>
          <w:rFonts w:ascii="Times New Roman" w:hAnsi="Times New Roman" w:cs="Times New Roman"/>
          <w:sz w:val="24"/>
          <w:szCs w:val="24"/>
        </w:rPr>
        <w:t xml:space="preserve"> schválenú derogáciu (dočasný nesúlad národnej legislatívy s už platnou nadradenou európskou). Na základe už uzatvorených kontraktov na poskytovanie SRV sa v roku 2020 nepredpokladá situácia, kedy by poskytovatelia služieb z dôvodu ekonomickej nevýhodnosti a bez dostatočného ekonomického stimulu, nemohli jeden alebo obidva typy služieb poskytovať. V prípade opačnej situácie v súvislosti s nastavením regulovanej ceny obidvoch zložiek SRV, by uvedená skutočnosť mohla v konečnom dôsledku viesť až k ohrozeniu tých činností prevádzkovateľa PS, ktoré súvisia s jeho zodpovednosťou za zabezpečenie vyrovnanej výkonovej bilancie v reálnom čase.</w:t>
      </w:r>
    </w:p>
    <w:p w14:paraId="3136CB0B" w14:textId="77777777" w:rsidR="00B27340" w:rsidRPr="00C148DF" w:rsidRDefault="00B27340" w:rsidP="00366A4B">
      <w:pPr>
        <w:jc w:val="both"/>
        <w:rPr>
          <w:rFonts w:ascii="Times New Roman" w:hAnsi="Times New Roman" w:cs="Times New Roman"/>
          <w:sz w:val="24"/>
          <w:szCs w:val="24"/>
        </w:rPr>
      </w:pPr>
      <w:r w:rsidRPr="00C148DF">
        <w:rPr>
          <w:rFonts w:ascii="Times New Roman" w:hAnsi="Times New Roman" w:cs="Times New Roman"/>
          <w:sz w:val="24"/>
          <w:szCs w:val="24"/>
        </w:rPr>
        <w:t xml:space="preserve">Ďalšia európska platforma v zmysle článku 20 EBGL, z ktorej pre PS SR vyplývajú úlohy, je platforma na výmenu regulačnej energie z rezerv na obnovenie frekvencie s manuálnou aktiváciou (MARI - </w:t>
      </w:r>
      <w:proofErr w:type="spellStart"/>
      <w:r w:rsidRPr="00C148DF">
        <w:rPr>
          <w:rFonts w:ascii="Times New Roman" w:hAnsi="Times New Roman" w:cs="Times New Roman"/>
          <w:sz w:val="24"/>
          <w:szCs w:val="24"/>
        </w:rPr>
        <w:t>Manually</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Activated</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Reserves</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Initiative</w:t>
      </w:r>
      <w:proofErr w:type="spellEnd"/>
      <w:r w:rsidRPr="00C148DF">
        <w:rPr>
          <w:rFonts w:ascii="Times New Roman" w:hAnsi="Times New Roman" w:cs="Times New Roman"/>
          <w:sz w:val="24"/>
          <w:szCs w:val="24"/>
        </w:rPr>
        <w:t xml:space="preserve">). Spoločnosť SEPS sa stala plnohodnotným členom uvedeného projektu 26.7.2018. Uvedená platforma sa týka produktov zabezpečujúcich v sústave terciárnu reguláciu výkonu a v tejto súvislosti, všetky doteraz existujúce a platné podporné služby terciárnej regulácie, tak ako sú uvedené v tab. 2.3 s výnimkou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typu TRV3MIN+ a TRV3MIN- prejdú pod jeden štandardný produkt s označením </w:t>
      </w:r>
      <w:proofErr w:type="spellStart"/>
      <w:r w:rsidRPr="00C148DF">
        <w:rPr>
          <w:rFonts w:ascii="Times New Roman" w:hAnsi="Times New Roman" w:cs="Times New Roman"/>
          <w:sz w:val="24"/>
          <w:szCs w:val="24"/>
        </w:rPr>
        <w:t>mFRR</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manual</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Frequency</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Restoration</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Reserve</w:t>
      </w:r>
      <w:proofErr w:type="spellEnd"/>
      <w:r w:rsidRPr="00C148DF">
        <w:rPr>
          <w:rFonts w:ascii="Times New Roman" w:hAnsi="Times New Roman" w:cs="Times New Roman"/>
          <w:sz w:val="24"/>
          <w:szCs w:val="24"/>
        </w:rPr>
        <w:t xml:space="preserve">), resp. </w:t>
      </w:r>
      <w:proofErr w:type="spellStart"/>
      <w:r w:rsidRPr="00C148DF">
        <w:rPr>
          <w:rFonts w:ascii="Times New Roman" w:hAnsi="Times New Roman" w:cs="Times New Roman"/>
          <w:sz w:val="24"/>
          <w:szCs w:val="24"/>
        </w:rPr>
        <w:t>mFRR</w:t>
      </w:r>
      <w:proofErr w:type="spellEnd"/>
      <w:r w:rsidRPr="00C148DF">
        <w:rPr>
          <w:rFonts w:ascii="Times New Roman" w:hAnsi="Times New Roman" w:cs="Times New Roman"/>
          <w:sz w:val="24"/>
          <w:szCs w:val="24"/>
        </w:rPr>
        <w:t>+/</w:t>
      </w:r>
      <w:proofErr w:type="spellStart"/>
      <w:r w:rsidRPr="00C148DF">
        <w:rPr>
          <w:rFonts w:ascii="Times New Roman" w:hAnsi="Times New Roman" w:cs="Times New Roman"/>
          <w:sz w:val="24"/>
          <w:szCs w:val="24"/>
        </w:rPr>
        <w:t>mFRR</w:t>
      </w:r>
      <w:proofErr w:type="spellEnd"/>
      <w:r w:rsidRPr="00C148DF">
        <w:rPr>
          <w:rFonts w:ascii="Times New Roman" w:hAnsi="Times New Roman" w:cs="Times New Roman"/>
          <w:sz w:val="24"/>
          <w:szCs w:val="24"/>
        </w:rPr>
        <w:t xml:space="preserve">-. Uvedené zmeny pre </w:t>
      </w:r>
      <w:proofErr w:type="spellStart"/>
      <w:r w:rsidRPr="00C148DF">
        <w:rPr>
          <w:rFonts w:ascii="Times New Roman" w:hAnsi="Times New Roman" w:cs="Times New Roman"/>
          <w:sz w:val="24"/>
          <w:szCs w:val="24"/>
        </w:rPr>
        <w:t>mFRR</w:t>
      </w:r>
      <w:proofErr w:type="spellEnd"/>
      <w:r w:rsidRPr="00C148DF">
        <w:rPr>
          <w:rFonts w:ascii="Times New Roman" w:hAnsi="Times New Roman" w:cs="Times New Roman"/>
          <w:sz w:val="24"/>
          <w:szCs w:val="24"/>
        </w:rPr>
        <w:t xml:space="preserve"> vojdú do platnosti od 1.1.2022.  </w:t>
      </w:r>
    </w:p>
    <w:p w14:paraId="1E183F96" w14:textId="77777777" w:rsidR="00B27340" w:rsidRPr="00C148DF" w:rsidRDefault="00B27340" w:rsidP="00366A4B">
      <w:pPr>
        <w:jc w:val="both"/>
        <w:rPr>
          <w:rFonts w:ascii="Times New Roman" w:hAnsi="Times New Roman" w:cs="Times New Roman"/>
          <w:sz w:val="24"/>
          <w:szCs w:val="24"/>
        </w:rPr>
      </w:pPr>
      <w:r w:rsidRPr="00C148DF">
        <w:rPr>
          <w:rFonts w:ascii="Times New Roman" w:hAnsi="Times New Roman" w:cs="Times New Roman"/>
          <w:iCs/>
          <w:sz w:val="24"/>
          <w:szCs w:val="24"/>
        </w:rPr>
        <w:t xml:space="preserve">V priebehu roku 2018 bolo zorganizované viacročné výberové konanie (VVK) na </w:t>
      </w:r>
      <w:proofErr w:type="spellStart"/>
      <w:r w:rsidRPr="00C148DF">
        <w:rPr>
          <w:rFonts w:ascii="Times New Roman" w:hAnsi="Times New Roman" w:cs="Times New Roman"/>
          <w:iCs/>
          <w:sz w:val="24"/>
          <w:szCs w:val="24"/>
        </w:rPr>
        <w:t>PpS</w:t>
      </w:r>
      <w:proofErr w:type="spellEnd"/>
      <w:r w:rsidRPr="00C148DF">
        <w:rPr>
          <w:rFonts w:ascii="Times New Roman" w:hAnsi="Times New Roman" w:cs="Times New Roman"/>
          <w:iCs/>
          <w:sz w:val="24"/>
          <w:szCs w:val="24"/>
        </w:rPr>
        <w:t xml:space="preserve"> na roky 2019 – 2021 a v priebehu roka 2019 výberové konanie na rok 2022. Obstaranie </w:t>
      </w:r>
      <w:proofErr w:type="spellStart"/>
      <w:r w:rsidRPr="00C148DF">
        <w:rPr>
          <w:rFonts w:ascii="Times New Roman" w:hAnsi="Times New Roman" w:cs="Times New Roman"/>
          <w:iCs/>
          <w:sz w:val="24"/>
          <w:szCs w:val="24"/>
        </w:rPr>
        <w:t>PpS</w:t>
      </w:r>
      <w:proofErr w:type="spellEnd"/>
      <w:r w:rsidRPr="00C148DF">
        <w:rPr>
          <w:rFonts w:ascii="Times New Roman" w:hAnsi="Times New Roman" w:cs="Times New Roman"/>
          <w:iCs/>
          <w:sz w:val="24"/>
          <w:szCs w:val="24"/>
        </w:rPr>
        <w:t xml:space="preserve"> na dlhšie obdobie už nie je podľa CEP možné. Cieľom obstarania </w:t>
      </w:r>
      <w:proofErr w:type="spellStart"/>
      <w:r w:rsidRPr="00C148DF">
        <w:rPr>
          <w:rFonts w:ascii="Times New Roman" w:hAnsi="Times New Roman" w:cs="Times New Roman"/>
          <w:iCs/>
          <w:sz w:val="24"/>
          <w:szCs w:val="24"/>
        </w:rPr>
        <w:t>PpS</w:t>
      </w:r>
      <w:proofErr w:type="spellEnd"/>
      <w:r w:rsidRPr="00C148DF">
        <w:rPr>
          <w:rFonts w:ascii="Times New Roman" w:hAnsi="Times New Roman" w:cs="Times New Roman"/>
          <w:iCs/>
          <w:sz w:val="24"/>
          <w:szCs w:val="24"/>
        </w:rPr>
        <w:t xml:space="preserve"> na dlhšie obdobie bolo prispieť k eliminácii rizík a neistôt súvisiacich s nedostatočnou ponukou disponibility </w:t>
      </w:r>
      <w:proofErr w:type="spellStart"/>
      <w:r w:rsidRPr="00C148DF">
        <w:rPr>
          <w:rFonts w:ascii="Times New Roman" w:hAnsi="Times New Roman" w:cs="Times New Roman"/>
          <w:iCs/>
          <w:sz w:val="24"/>
          <w:szCs w:val="24"/>
        </w:rPr>
        <w:t>PpS</w:t>
      </w:r>
      <w:proofErr w:type="spellEnd"/>
      <w:r w:rsidRPr="00C148DF">
        <w:rPr>
          <w:rFonts w:ascii="Times New Roman" w:hAnsi="Times New Roman" w:cs="Times New Roman"/>
          <w:iCs/>
          <w:sz w:val="24"/>
          <w:szCs w:val="24"/>
        </w:rPr>
        <w:t xml:space="preserve">, čím sa zvýši spoľahlivosť a bezpečnosť prevádzky ES SR. Taktiež zabezpečuje dosiahnutie stabilnejšieho výhľadu prevádzkovej ekonomiky poskytovateľov </w:t>
      </w:r>
      <w:proofErr w:type="spellStart"/>
      <w:r w:rsidRPr="00C148DF">
        <w:rPr>
          <w:rFonts w:ascii="Times New Roman" w:hAnsi="Times New Roman" w:cs="Times New Roman"/>
          <w:iCs/>
          <w:sz w:val="24"/>
          <w:szCs w:val="24"/>
        </w:rPr>
        <w:t>PpS</w:t>
      </w:r>
      <w:proofErr w:type="spellEnd"/>
      <w:r w:rsidRPr="00C148DF">
        <w:rPr>
          <w:rFonts w:ascii="Times New Roman" w:hAnsi="Times New Roman" w:cs="Times New Roman"/>
          <w:iCs/>
          <w:sz w:val="24"/>
          <w:szCs w:val="24"/>
        </w:rPr>
        <w:t>, čo sa pozitívne prejaví v znížení prevádzkových nákladov.</w:t>
      </w:r>
    </w:p>
    <w:p w14:paraId="234C281F" w14:textId="77777777" w:rsidR="00B27340" w:rsidRPr="00C148DF" w:rsidRDefault="00B27340" w:rsidP="00366A4B">
      <w:pPr>
        <w:jc w:val="both"/>
        <w:rPr>
          <w:rFonts w:ascii="Times New Roman" w:hAnsi="Times New Roman" w:cs="Times New Roman"/>
          <w:sz w:val="24"/>
          <w:szCs w:val="24"/>
        </w:rPr>
      </w:pPr>
      <w:r w:rsidRPr="00C148DF">
        <w:rPr>
          <w:rFonts w:ascii="Times New Roman" w:hAnsi="Times New Roman" w:cs="Times New Roman"/>
          <w:sz w:val="24"/>
          <w:szCs w:val="24"/>
        </w:rPr>
        <w:t xml:space="preserve">V mesiaci september 2019 bol spoločnosťou SEPS zabezpečený chýbajúci objem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pre rok 2020 formou ročného výberového konania na obdobie jedného kalendárneho roka od 1.1.2020 do 31.12.2020. Uvedený objem pre </w:t>
      </w:r>
      <w:proofErr w:type="spellStart"/>
      <w:r w:rsidRPr="00C148DF">
        <w:rPr>
          <w:rFonts w:ascii="Times New Roman" w:hAnsi="Times New Roman" w:cs="Times New Roman"/>
          <w:sz w:val="24"/>
          <w:szCs w:val="24"/>
        </w:rPr>
        <w:t>dokup</w:t>
      </w:r>
      <w:proofErr w:type="spellEnd"/>
      <w:r w:rsidRPr="00C148DF">
        <w:rPr>
          <w:rFonts w:ascii="Times New Roman" w:hAnsi="Times New Roman" w:cs="Times New Roman"/>
          <w:sz w:val="24"/>
          <w:szCs w:val="24"/>
        </w:rPr>
        <w:t xml:space="preserve"> bol stanovený na základe prevádzkových požiadaviek na rok 2020 a výsledkov obstarávania disponibility jednotlivých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v rámci viacročného výberového konania na obdobie 2019-2021 z augusta 2018 podľa „Stratégia zabezpečenia dostatočného objemu podporných služieb pre poskytovanie systémových služieb a bezpečnej a spoľahlivej prevádzky ES SR pre obdobie rokov 2019 až 2021“.</w:t>
      </w:r>
    </w:p>
    <w:p w14:paraId="3BAC03CE" w14:textId="77777777" w:rsidR="00B27340" w:rsidRPr="00C148DF" w:rsidRDefault="00B27340" w:rsidP="00366A4B">
      <w:pPr>
        <w:jc w:val="both"/>
        <w:rPr>
          <w:rFonts w:ascii="Times New Roman" w:hAnsi="Times New Roman" w:cs="Times New Roman"/>
          <w:iCs/>
          <w:sz w:val="24"/>
          <w:szCs w:val="24"/>
        </w:rPr>
      </w:pPr>
      <w:r w:rsidRPr="00C148DF">
        <w:rPr>
          <w:rFonts w:ascii="Times New Roman" w:hAnsi="Times New Roman" w:cs="Times New Roman"/>
          <w:sz w:val="24"/>
          <w:szCs w:val="24"/>
        </w:rPr>
        <w:t xml:space="preserve">Chýbajúci objem disponibility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pre rok 2020, t.j. </w:t>
      </w:r>
      <w:proofErr w:type="spellStart"/>
      <w:r w:rsidRPr="00C148DF">
        <w:rPr>
          <w:rFonts w:ascii="Times New Roman" w:hAnsi="Times New Roman" w:cs="Times New Roman"/>
          <w:sz w:val="24"/>
          <w:szCs w:val="24"/>
        </w:rPr>
        <w:t>dokup</w:t>
      </w:r>
      <w:proofErr w:type="spellEnd"/>
      <w:r w:rsidRPr="00C148DF">
        <w:rPr>
          <w:rFonts w:ascii="Times New Roman" w:hAnsi="Times New Roman" w:cs="Times New Roman"/>
          <w:sz w:val="24"/>
          <w:szCs w:val="24"/>
        </w:rPr>
        <w:t xml:space="preserve">, zohľadňoval objem zmluvne zabezpečených disponibilít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v roku 2018 (PRV 96,3%, SRV</w:t>
      </w:r>
      <w:r w:rsidRPr="00C148DF">
        <w:rPr>
          <w:rFonts w:ascii="Times New Roman" w:hAnsi="Times New Roman" w:cs="Times New Roman"/>
          <w:iCs/>
          <w:sz w:val="24"/>
          <w:szCs w:val="24"/>
        </w:rPr>
        <w:t xml:space="preserve"> 76,9%, TRV3MIN+ 100%, </w:t>
      </w:r>
      <w:r w:rsidRPr="00C148DF">
        <w:rPr>
          <w:rFonts w:ascii="Times New Roman" w:hAnsi="Times New Roman" w:cs="Times New Roman"/>
          <w:iCs/>
          <w:sz w:val="24"/>
          <w:szCs w:val="24"/>
        </w:rPr>
        <w:lastRenderedPageBreak/>
        <w:t xml:space="preserve">TRV3MIN- 0%, TRV10MIN+ 100%, TRV10MIN- 0%, spoločné obstaranie TRV15MIN+ a ZNO 68,9%, TRV15MIN- a ZVO 77,2%). </w:t>
      </w:r>
    </w:p>
    <w:p w14:paraId="511AC7CF" w14:textId="77777777" w:rsidR="00B27340" w:rsidRPr="00C148DF" w:rsidRDefault="00B27340" w:rsidP="00B27340">
      <w:pPr>
        <w:pStyle w:val="normal1"/>
        <w:ind w:firstLine="0"/>
        <w:rPr>
          <w:rFonts w:ascii="Times New Roman" w:hAnsi="Times New Roman"/>
          <w:iCs/>
        </w:rPr>
      </w:pPr>
      <w:r w:rsidRPr="00C148DF">
        <w:rPr>
          <w:rFonts w:ascii="Times New Roman" w:hAnsi="Times New Roman"/>
          <w:iCs/>
        </w:rPr>
        <w:t xml:space="preserve">Počas roku 2019 bola priebežne obstarávaná disponibilita jednotlivých </w:t>
      </w:r>
      <w:proofErr w:type="spellStart"/>
      <w:r w:rsidRPr="00C148DF">
        <w:rPr>
          <w:rFonts w:ascii="Times New Roman" w:hAnsi="Times New Roman"/>
          <w:iCs/>
        </w:rPr>
        <w:t>PpS</w:t>
      </w:r>
      <w:proofErr w:type="spellEnd"/>
      <w:r w:rsidRPr="00C148DF">
        <w:rPr>
          <w:rFonts w:ascii="Times New Roman" w:hAnsi="Times New Roman"/>
          <w:iCs/>
        </w:rPr>
        <w:t xml:space="preserve"> v časových horizontoch deň až mesiac prostredníctvom informačného systému PPS (ďalej len „IS PPS“) a v súlade s prevádzkovým poriadkom, technickými podmienkami prístupu a pripojenia a pravidlami prevádzkovania prenosovej sústavy SEPS, zverejnenými na svojom webovom sídle</w:t>
      </w:r>
      <w:r w:rsidRPr="00C148DF">
        <w:rPr>
          <w:rStyle w:val="Odkaznapoznmkupodiarou"/>
          <w:rFonts w:ascii="Times New Roman" w:hAnsi="Times New Roman"/>
          <w:iCs/>
        </w:rPr>
        <w:footnoteReference w:id="4"/>
      </w:r>
      <w:r w:rsidRPr="00C148DF">
        <w:rPr>
          <w:rFonts w:ascii="Times New Roman" w:hAnsi="Times New Roman"/>
          <w:iCs/>
        </w:rPr>
        <w:t>.</w:t>
      </w:r>
    </w:p>
    <w:p w14:paraId="0B701F1A" w14:textId="77777777" w:rsidR="00B27340" w:rsidRPr="00C148DF" w:rsidRDefault="00B27340" w:rsidP="00003436">
      <w:pPr>
        <w:jc w:val="both"/>
        <w:rPr>
          <w:rFonts w:ascii="Times New Roman" w:eastAsia="Calibri" w:hAnsi="Times New Roman" w:cs="Times New Roman"/>
          <w:sz w:val="24"/>
          <w:szCs w:val="24"/>
        </w:rPr>
      </w:pPr>
      <w:r w:rsidRPr="00C148DF">
        <w:rPr>
          <w:rFonts w:ascii="Times New Roman" w:eastAsia="Calibri" w:hAnsi="Times New Roman" w:cs="Times New Roman"/>
          <w:sz w:val="24"/>
          <w:szCs w:val="24"/>
        </w:rPr>
        <w:t xml:space="preserve">V mesiaci júl – august  2019 bola vypracovaná a následne v orgánoch spoločnosti SEPS schválená „Stratégia zabezpečenia dostatočného objemu podporných služieb pre poskytovanie systémových služieb a bezpečnej a spoľahlivej prevádzky ES SR na rok 2022“. </w:t>
      </w:r>
    </w:p>
    <w:p w14:paraId="6765E62F"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 xml:space="preserve">Uvedená stratégia zohľadňuje požiadavky vyplývajúce z európskej legislatívy a ďalšie argumenty pre zabezpečenie dostatočného objemu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na rok 2022 pri minimalizácii nákladov na obstaranie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na základe ekonomicky efektívneho a transparentného princípu, ktoré boli verejne konzultované a prezentované na </w:t>
      </w:r>
      <w:proofErr w:type="spellStart"/>
      <w:r w:rsidRPr="00C148DF">
        <w:rPr>
          <w:rFonts w:ascii="Times New Roman" w:hAnsi="Times New Roman" w:cs="Times New Roman"/>
          <w:sz w:val="24"/>
          <w:szCs w:val="24"/>
        </w:rPr>
        <w:t>Workshope</w:t>
      </w:r>
      <w:proofErr w:type="spellEnd"/>
      <w:r w:rsidRPr="00C148DF">
        <w:rPr>
          <w:rFonts w:ascii="Times New Roman" w:hAnsi="Times New Roman" w:cs="Times New Roman"/>
          <w:sz w:val="24"/>
          <w:szCs w:val="24"/>
        </w:rPr>
        <w:t xml:space="preserve"> dňa 21. 8. 2019. </w:t>
      </w:r>
      <w:r w:rsidRPr="00C148DF">
        <w:rPr>
          <w:rFonts w:ascii="Times New Roman" w:eastAsia="Calibri" w:hAnsi="Times New Roman" w:cs="Times New Roman"/>
          <w:sz w:val="24"/>
          <w:szCs w:val="24"/>
        </w:rPr>
        <w:t xml:space="preserve">V nadväznosti na prijatú stratégiu bolo koncom septembra 2019 vyhlásené VVK </w:t>
      </w:r>
      <w:r w:rsidRPr="00C148DF">
        <w:rPr>
          <w:rFonts w:ascii="Times New Roman" w:hAnsi="Times New Roman" w:cs="Times New Roman"/>
          <w:sz w:val="24"/>
          <w:szCs w:val="24"/>
        </w:rPr>
        <w:t xml:space="preserve">na rok 2022. V rámci podmienok výberového konania bola stanovená výška cenovej ponuky 96% maximálnej ceny za disponibilitu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určenej platným rozhodnutím ÚRSO č.0001/2019/E zo dňa 3.10.2018 na obdobie od 1.1.2019 do 31.12.2021. Na základe vyhodnotenia výberového konania bol zabezpečený požadovaný objem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na rok 2022 na úrovni 100% okrem služieb </w:t>
      </w:r>
      <w:proofErr w:type="spellStart"/>
      <w:r w:rsidRPr="00C148DF">
        <w:rPr>
          <w:rFonts w:ascii="Times New Roman" w:hAnsi="Times New Roman" w:cs="Times New Roman"/>
          <w:sz w:val="24"/>
          <w:szCs w:val="24"/>
        </w:rPr>
        <w:t>Frequency</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Containment</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Reserve</w:t>
      </w:r>
      <w:proofErr w:type="spellEnd"/>
      <w:r w:rsidRPr="00C148DF">
        <w:rPr>
          <w:rFonts w:ascii="Times New Roman" w:hAnsi="Times New Roman" w:cs="Times New Roman"/>
          <w:sz w:val="24"/>
          <w:szCs w:val="24"/>
        </w:rPr>
        <w:t xml:space="preserve"> (FCR), </w:t>
      </w:r>
      <w:proofErr w:type="spellStart"/>
      <w:r w:rsidRPr="00C148DF">
        <w:rPr>
          <w:rFonts w:ascii="Times New Roman" w:hAnsi="Times New Roman" w:cs="Times New Roman"/>
          <w:sz w:val="24"/>
          <w:szCs w:val="24"/>
        </w:rPr>
        <w:t>Automatic</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Frequency</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Restoration</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Reserve</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positive</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aFRR</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Manual</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Frequency</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Restoration</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Reserve</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negative</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mFRR</w:t>
      </w:r>
      <w:proofErr w:type="spellEnd"/>
      <w:r w:rsidRPr="00C148DF">
        <w:rPr>
          <w:rFonts w:ascii="Times New Roman" w:hAnsi="Times New Roman" w:cs="Times New Roman"/>
          <w:sz w:val="24"/>
          <w:szCs w:val="24"/>
        </w:rPr>
        <w:t xml:space="preserve">-) (podľa znenia vyplývajúceho z legislatívy EÚ). </w:t>
      </w:r>
    </w:p>
    <w:p w14:paraId="4B3C8CB0" w14:textId="77777777" w:rsidR="00B27340" w:rsidRPr="00C148DF" w:rsidRDefault="00B27340" w:rsidP="00003436">
      <w:pPr>
        <w:spacing w:after="120"/>
        <w:jc w:val="both"/>
        <w:rPr>
          <w:rFonts w:ascii="Times New Roman" w:hAnsi="Times New Roman" w:cs="Times New Roman"/>
          <w:sz w:val="24"/>
          <w:szCs w:val="24"/>
        </w:rPr>
      </w:pPr>
      <w:r w:rsidRPr="00C148DF">
        <w:rPr>
          <w:rFonts w:ascii="Times New Roman" w:hAnsi="Times New Roman" w:cs="Times New Roman"/>
          <w:sz w:val="24"/>
          <w:szCs w:val="24"/>
        </w:rPr>
        <w:t>Spoločnosť SEPS z dôvodu legislatívnych zmien vyplývajúcich z Nariadenia Európskeho parlamentu a Rady (EÚ) č. 2019/943 o vnútornom trhu s elektrinou pristúpila v priebehu roku 2019 k harmonizácii pravidiel organizovania denných výberových konaní na obstaranie podporných služieb pre obdobie od 1.1.2020 do 31.12.2020 v režime 7 dní (sú zverejnené na webovom sídle spoločnosti SEPS</w:t>
      </w:r>
      <w:r w:rsidRPr="00C148DF">
        <w:rPr>
          <w:rFonts w:ascii="Times New Roman" w:hAnsi="Times New Roman" w:cs="Times New Roman"/>
          <w:sz w:val="24"/>
          <w:szCs w:val="24"/>
          <w:vertAlign w:val="superscript"/>
        </w:rPr>
        <w:t>6</w:t>
      </w:r>
      <w:r w:rsidRPr="00C148DF">
        <w:rPr>
          <w:rFonts w:ascii="Times New Roman" w:hAnsi="Times New Roman" w:cs="Times New Roman"/>
          <w:sz w:val="24"/>
          <w:szCs w:val="24"/>
        </w:rPr>
        <w:t>).</w:t>
      </w:r>
    </w:p>
    <w:p w14:paraId="6CEE2030" w14:textId="77777777" w:rsidR="00B27340" w:rsidRPr="00B8646A" w:rsidRDefault="00B27340" w:rsidP="00003436">
      <w:pPr>
        <w:pStyle w:val="Nadpis2"/>
        <w:numPr>
          <w:ilvl w:val="1"/>
          <w:numId w:val="12"/>
        </w:numPr>
        <w:spacing w:before="240" w:after="120" w:line="259" w:lineRule="auto"/>
        <w:ind w:left="578" w:hanging="578"/>
        <w:jc w:val="both"/>
        <w:rPr>
          <w:rFonts w:ascii="Times New Roman" w:hAnsi="Times New Roman" w:cs="Times New Roman"/>
          <w:b/>
          <w:color w:val="000000" w:themeColor="text1"/>
          <w:sz w:val="24"/>
          <w:szCs w:val="24"/>
        </w:rPr>
      </w:pPr>
      <w:bookmarkStart w:id="14" w:name="_Toc46594169"/>
      <w:r w:rsidRPr="00B8646A">
        <w:rPr>
          <w:rFonts w:ascii="Times New Roman" w:hAnsi="Times New Roman" w:cs="Times New Roman"/>
          <w:b/>
          <w:color w:val="000000" w:themeColor="text1"/>
          <w:sz w:val="24"/>
          <w:szCs w:val="24"/>
        </w:rPr>
        <w:t>Alokácia prenosových kapacít na cezhraničných profiloch PS SR</w:t>
      </w:r>
      <w:bookmarkEnd w:id="14"/>
    </w:p>
    <w:p w14:paraId="0655D2FE"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Prenosové kapacity na cezhraničných profiloch PS SR sú prideľované v niekoľkých časových rámcoch – na ročnej, mesačnej, dennej a </w:t>
      </w:r>
      <w:proofErr w:type="spellStart"/>
      <w:r w:rsidRPr="00C148DF">
        <w:rPr>
          <w:rFonts w:ascii="Times New Roman" w:hAnsi="Times New Roman" w:cs="Times New Roman"/>
          <w:sz w:val="24"/>
          <w:szCs w:val="24"/>
        </w:rPr>
        <w:t>vnútrodennej</w:t>
      </w:r>
      <w:proofErr w:type="spellEnd"/>
      <w:r w:rsidRPr="00C148DF">
        <w:rPr>
          <w:rFonts w:ascii="Times New Roman" w:hAnsi="Times New Roman" w:cs="Times New Roman"/>
          <w:sz w:val="24"/>
          <w:szCs w:val="24"/>
        </w:rPr>
        <w:t xml:space="preserve"> báze. Na prideľovanie kapacít sú v závislosti od príslušného časového rámca a príslušného cezhraničného profilu aplikované postupy explicitných aukcií, implicitných aukcií a explicitných alokácií metódou </w:t>
      </w:r>
      <w:proofErr w:type="spellStart"/>
      <w:r w:rsidRPr="00C148DF">
        <w:rPr>
          <w:rFonts w:ascii="Times New Roman" w:hAnsi="Times New Roman" w:cs="Times New Roman"/>
          <w:sz w:val="24"/>
          <w:szCs w:val="24"/>
        </w:rPr>
        <w:t>First</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Come</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First</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Served</w:t>
      </w:r>
      <w:proofErr w:type="spellEnd"/>
      <w:r w:rsidRPr="00C148DF">
        <w:rPr>
          <w:rFonts w:ascii="Times New Roman" w:hAnsi="Times New Roman" w:cs="Times New Roman"/>
          <w:sz w:val="24"/>
          <w:szCs w:val="24"/>
        </w:rPr>
        <w:t xml:space="preserve"> (FCFS), kedy požiadavky na pridelenie kapacity sú vyhodnocované priebežne v poradí, v akom sú prijaté alokačným systémom.</w:t>
      </w:r>
    </w:p>
    <w:p w14:paraId="258C1000"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 xml:space="preserve">Prideľovanie dlhodobých cezhraničných prenosových kapacít na profile PS SR (SEPS) s Poľskom (PSE), s Českou republikou (ČEPS) a s Maďarskom (MAVIR) prebiehalo v roku 2019 prostredníctvom Jednotnej alokačnej platformy SAP (Single </w:t>
      </w:r>
      <w:proofErr w:type="spellStart"/>
      <w:r w:rsidRPr="00C148DF">
        <w:rPr>
          <w:rFonts w:ascii="Times New Roman" w:hAnsi="Times New Roman" w:cs="Times New Roman"/>
          <w:sz w:val="24"/>
          <w:szCs w:val="24"/>
        </w:rPr>
        <w:t>Allocation</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Platform</w:t>
      </w:r>
      <w:proofErr w:type="spellEnd"/>
      <w:r w:rsidRPr="00C148DF">
        <w:rPr>
          <w:rFonts w:ascii="Times New Roman" w:hAnsi="Times New Roman" w:cs="Times New Roman"/>
          <w:sz w:val="24"/>
          <w:szCs w:val="24"/>
        </w:rPr>
        <w:t xml:space="preserve">), ktorú prevádzkuje </w:t>
      </w:r>
      <w:proofErr w:type="spellStart"/>
      <w:r w:rsidRPr="00C148DF">
        <w:rPr>
          <w:rFonts w:ascii="Times New Roman" w:hAnsi="Times New Roman" w:cs="Times New Roman"/>
          <w:sz w:val="24"/>
          <w:szCs w:val="24"/>
        </w:rPr>
        <w:t>Joint</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Allocation</w:t>
      </w:r>
      <w:proofErr w:type="spellEnd"/>
      <w:r w:rsidRPr="00C148DF">
        <w:rPr>
          <w:rFonts w:ascii="Times New Roman" w:hAnsi="Times New Roman" w:cs="Times New Roman"/>
          <w:sz w:val="24"/>
          <w:szCs w:val="24"/>
        </w:rPr>
        <w:t xml:space="preserve"> Office S.A. (JAO) so sídlom v Luxemburgu. Na profiloch SK/CZ, SK/HU a SK/PL prideľovala  SAP dlhodobé kapacitné práva v ročnej a mesačných aukciách. </w:t>
      </w:r>
    </w:p>
    <w:p w14:paraId="094E8C8C" w14:textId="77777777" w:rsidR="00B27340" w:rsidRPr="00C148DF" w:rsidRDefault="00B27340" w:rsidP="00003436">
      <w:pPr>
        <w:jc w:val="both"/>
        <w:rPr>
          <w:rFonts w:ascii="Times New Roman" w:hAnsi="Times New Roman" w:cs="Times New Roman"/>
          <w:iCs/>
          <w:sz w:val="24"/>
          <w:szCs w:val="24"/>
        </w:rPr>
      </w:pPr>
      <w:r w:rsidRPr="00C148DF">
        <w:rPr>
          <w:rFonts w:ascii="Times New Roman" w:hAnsi="Times New Roman" w:cs="Times New Roman"/>
          <w:iCs/>
          <w:sz w:val="24"/>
          <w:szCs w:val="24"/>
        </w:rPr>
        <w:lastRenderedPageBreak/>
        <w:t xml:space="preserve">Na dennej báze boli cezhraničné kapacity na profiloch SK/HU a SK/CZ prideľované implicitne v rámci procedúry štvorstranného </w:t>
      </w:r>
      <w:proofErr w:type="spellStart"/>
      <w:r w:rsidRPr="00C148DF">
        <w:rPr>
          <w:rFonts w:ascii="Times New Roman" w:hAnsi="Times New Roman" w:cs="Times New Roman"/>
          <w:iCs/>
          <w:sz w:val="24"/>
          <w:szCs w:val="24"/>
        </w:rPr>
        <w:t>Market</w:t>
      </w:r>
      <w:proofErr w:type="spellEnd"/>
      <w:r w:rsidRPr="00C148DF">
        <w:rPr>
          <w:rFonts w:ascii="Times New Roman" w:hAnsi="Times New Roman" w:cs="Times New Roman"/>
          <w:iCs/>
          <w:sz w:val="24"/>
          <w:szCs w:val="24"/>
        </w:rPr>
        <w:t xml:space="preserve"> </w:t>
      </w:r>
      <w:proofErr w:type="spellStart"/>
      <w:r w:rsidRPr="00C148DF">
        <w:rPr>
          <w:rFonts w:ascii="Times New Roman" w:hAnsi="Times New Roman" w:cs="Times New Roman"/>
          <w:iCs/>
          <w:sz w:val="24"/>
          <w:szCs w:val="24"/>
        </w:rPr>
        <w:t>couplingu</w:t>
      </w:r>
      <w:proofErr w:type="spellEnd"/>
      <w:r w:rsidRPr="00C148DF">
        <w:rPr>
          <w:rFonts w:ascii="Times New Roman" w:hAnsi="Times New Roman" w:cs="Times New Roman"/>
          <w:iCs/>
          <w:sz w:val="24"/>
          <w:szCs w:val="24"/>
        </w:rPr>
        <w:t xml:space="preserve"> medzi Českou republikou, Slovenskom, Maďarskom a Rumunskom (4M MC), ktorého prevádzka začala 19. novembra 2014. Prevádzka počas roka 2019 bola bez mimoriadnych prevádzkových stavov.</w:t>
      </w:r>
    </w:p>
    <w:p w14:paraId="25728158" w14:textId="77777777" w:rsidR="00B27340" w:rsidRPr="00C148DF" w:rsidRDefault="00B27340" w:rsidP="00003436">
      <w:pPr>
        <w:jc w:val="both"/>
        <w:rPr>
          <w:rFonts w:ascii="Times New Roman" w:hAnsi="Times New Roman" w:cs="Times New Roman"/>
          <w:iCs/>
          <w:sz w:val="24"/>
          <w:szCs w:val="24"/>
        </w:rPr>
      </w:pPr>
      <w:r w:rsidRPr="00C148DF">
        <w:rPr>
          <w:rFonts w:ascii="Times New Roman" w:hAnsi="Times New Roman" w:cs="Times New Roman"/>
          <w:iCs/>
          <w:sz w:val="24"/>
          <w:szCs w:val="24"/>
        </w:rPr>
        <w:t>Cezhraničné kapacity na profile SK/PL boli na dennej báze prideľované prostredníctvom denných explicitných aukcií, ktoré vykonáva JAO.</w:t>
      </w:r>
    </w:p>
    <w:p w14:paraId="34D8E66F" w14:textId="77777777" w:rsidR="00B27340" w:rsidRPr="00C148DF" w:rsidRDefault="00B27340" w:rsidP="00003436">
      <w:pPr>
        <w:jc w:val="both"/>
        <w:rPr>
          <w:rFonts w:ascii="Times New Roman" w:hAnsi="Times New Roman" w:cs="Times New Roman"/>
          <w:iCs/>
          <w:sz w:val="24"/>
          <w:szCs w:val="24"/>
        </w:rPr>
      </w:pPr>
      <w:r w:rsidRPr="00C148DF">
        <w:rPr>
          <w:rFonts w:ascii="Times New Roman" w:hAnsi="Times New Roman" w:cs="Times New Roman"/>
          <w:iCs/>
          <w:sz w:val="24"/>
          <w:szCs w:val="24"/>
        </w:rPr>
        <w:t xml:space="preserve">Aukčná kancelária SEPS organizovala v roku 2019 prideľovanie prenosových kapacitných práv na cezhraničnom profile SK-UA. Prideľovanie cezhraničných prenosových kapacít sa uskutočňovalo formou mesačných a denných explicitných jednostranných aukcií podľa pravidiel zverejnených na webovom sídle </w:t>
      </w:r>
      <w:hyperlink r:id="rId36" w:history="1">
        <w:r w:rsidRPr="00C148DF">
          <w:rPr>
            <w:rFonts w:ascii="Times New Roman" w:hAnsi="Times New Roman" w:cs="Times New Roman"/>
            <w:iCs/>
            <w:sz w:val="24"/>
            <w:szCs w:val="24"/>
          </w:rPr>
          <w:t>www.sepsas.sk</w:t>
        </w:r>
      </w:hyperlink>
      <w:r w:rsidRPr="00C148DF">
        <w:rPr>
          <w:rFonts w:ascii="Times New Roman" w:hAnsi="Times New Roman" w:cs="Times New Roman"/>
          <w:iCs/>
          <w:sz w:val="24"/>
          <w:szCs w:val="24"/>
        </w:rPr>
        <w:t>.</w:t>
      </w:r>
    </w:p>
    <w:p w14:paraId="000D0586" w14:textId="77777777" w:rsidR="00B27340" w:rsidRPr="00C148DF" w:rsidRDefault="00B27340" w:rsidP="00003436">
      <w:pPr>
        <w:jc w:val="both"/>
        <w:rPr>
          <w:rFonts w:ascii="Times New Roman" w:eastAsia="Calibri" w:hAnsi="Times New Roman" w:cs="Times New Roman"/>
          <w:sz w:val="24"/>
          <w:szCs w:val="24"/>
        </w:rPr>
      </w:pPr>
      <w:r w:rsidRPr="00C148DF">
        <w:rPr>
          <w:rFonts w:ascii="Times New Roman" w:eastAsia="Calibri" w:hAnsi="Times New Roman" w:cs="Times New Roman"/>
          <w:sz w:val="24"/>
          <w:szCs w:val="24"/>
        </w:rPr>
        <w:t>Počas roka 2019 pokračovali rokovania s Ukrajinskou stranou (</w:t>
      </w:r>
      <w:proofErr w:type="spellStart"/>
      <w:r w:rsidRPr="00C148DF">
        <w:rPr>
          <w:rFonts w:ascii="Times New Roman" w:eastAsia="Calibri" w:hAnsi="Times New Roman" w:cs="Times New Roman"/>
          <w:sz w:val="24"/>
          <w:szCs w:val="24"/>
        </w:rPr>
        <w:t>National</w:t>
      </w:r>
      <w:proofErr w:type="spellEnd"/>
      <w:r w:rsidRPr="00C148DF">
        <w:rPr>
          <w:rFonts w:ascii="Times New Roman" w:eastAsia="Calibri" w:hAnsi="Times New Roman" w:cs="Times New Roman"/>
          <w:sz w:val="24"/>
          <w:szCs w:val="24"/>
        </w:rPr>
        <w:t xml:space="preserve"> </w:t>
      </w:r>
      <w:proofErr w:type="spellStart"/>
      <w:r w:rsidRPr="00C148DF">
        <w:rPr>
          <w:rFonts w:ascii="Times New Roman" w:eastAsia="Calibri" w:hAnsi="Times New Roman" w:cs="Times New Roman"/>
          <w:sz w:val="24"/>
          <w:szCs w:val="24"/>
        </w:rPr>
        <w:t>Power</w:t>
      </w:r>
      <w:proofErr w:type="spellEnd"/>
      <w:r w:rsidRPr="00C148DF">
        <w:rPr>
          <w:rFonts w:ascii="Times New Roman" w:eastAsia="Calibri" w:hAnsi="Times New Roman" w:cs="Times New Roman"/>
          <w:sz w:val="24"/>
          <w:szCs w:val="24"/>
        </w:rPr>
        <w:t xml:space="preserve"> </w:t>
      </w:r>
      <w:proofErr w:type="spellStart"/>
      <w:r w:rsidRPr="00C148DF">
        <w:rPr>
          <w:rFonts w:ascii="Times New Roman" w:eastAsia="Calibri" w:hAnsi="Times New Roman" w:cs="Times New Roman"/>
          <w:sz w:val="24"/>
          <w:szCs w:val="24"/>
        </w:rPr>
        <w:t>Company</w:t>
      </w:r>
      <w:proofErr w:type="spellEnd"/>
      <w:r w:rsidRPr="00C148DF">
        <w:rPr>
          <w:rFonts w:ascii="Times New Roman" w:eastAsia="Calibri" w:hAnsi="Times New Roman" w:cs="Times New Roman"/>
          <w:sz w:val="24"/>
          <w:szCs w:val="24"/>
        </w:rPr>
        <w:t xml:space="preserve">  </w:t>
      </w:r>
      <w:proofErr w:type="spellStart"/>
      <w:r w:rsidRPr="00C148DF">
        <w:rPr>
          <w:rFonts w:ascii="Times New Roman" w:eastAsia="Calibri" w:hAnsi="Times New Roman" w:cs="Times New Roman"/>
          <w:sz w:val="24"/>
          <w:szCs w:val="24"/>
        </w:rPr>
        <w:t>Ukrenergo</w:t>
      </w:r>
      <w:proofErr w:type="spellEnd"/>
      <w:r w:rsidRPr="00C148DF">
        <w:rPr>
          <w:rFonts w:ascii="Times New Roman" w:eastAsia="Calibri" w:hAnsi="Times New Roman" w:cs="Times New Roman"/>
          <w:sz w:val="24"/>
          <w:szCs w:val="24"/>
        </w:rPr>
        <w:t xml:space="preserve">) v otázkach zavedenia spoločných aukcií prenosových kapacít na profile SK-UA, a tiež práce na príprave spoločných aukčných pravidiel. Cieľom je prideľovanie kapacít na ročnej, mesačnej a dennej báze, pričom úlohu aukčnej kancelárie bude plniť </w:t>
      </w:r>
      <w:proofErr w:type="spellStart"/>
      <w:r w:rsidRPr="00C148DF">
        <w:rPr>
          <w:rFonts w:ascii="Times New Roman" w:eastAsia="Calibri" w:hAnsi="Times New Roman" w:cs="Times New Roman"/>
          <w:sz w:val="24"/>
          <w:szCs w:val="24"/>
        </w:rPr>
        <w:t>Ukrenergo</w:t>
      </w:r>
      <w:proofErr w:type="spellEnd"/>
      <w:r w:rsidRPr="00C148DF">
        <w:rPr>
          <w:rFonts w:ascii="Times New Roman" w:eastAsia="Calibri" w:hAnsi="Times New Roman" w:cs="Times New Roman"/>
          <w:sz w:val="24"/>
          <w:szCs w:val="24"/>
        </w:rPr>
        <w:t>. Podmienkou zavedenia spoločných aukcií je úprava príslušnej legislatívy na Ukrajinskej strane. V súvislosti s potrebnou úpravou ukrajinskej legislatívy bola príprava zavedenia spoločných aukcií v roku 2019 pozastavená.</w:t>
      </w:r>
    </w:p>
    <w:p w14:paraId="0E9986F4" w14:textId="77777777" w:rsidR="00B27340" w:rsidRPr="00C148DF" w:rsidRDefault="00B27340" w:rsidP="00B27340">
      <w:pPr>
        <w:spacing w:after="0"/>
        <w:rPr>
          <w:rFonts w:ascii="Times New Roman" w:eastAsia="Calibri" w:hAnsi="Times New Roman" w:cs="Times New Roman"/>
          <w:sz w:val="24"/>
          <w:szCs w:val="24"/>
        </w:rPr>
      </w:pPr>
      <w:r w:rsidRPr="00C148DF">
        <w:rPr>
          <w:rFonts w:ascii="Times New Roman" w:hAnsi="Times New Roman" w:cs="Times New Roman"/>
          <w:b/>
          <w:iCs/>
          <w:sz w:val="24"/>
          <w:szCs w:val="24"/>
        </w:rPr>
        <w:t xml:space="preserve">Tab. 2.4  </w:t>
      </w:r>
      <w:r w:rsidRPr="00C148DF">
        <w:rPr>
          <w:rFonts w:ascii="Times New Roman" w:hAnsi="Times New Roman" w:cs="Times New Roman"/>
          <w:iCs/>
          <w:sz w:val="24"/>
          <w:szCs w:val="24"/>
        </w:rPr>
        <w:t>Prehľad režimu prideľovania kapacít na cezhraničných profiloch SEPS v roku 2019</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072"/>
      </w:tblGrid>
      <w:tr w:rsidR="00B27340" w:rsidRPr="00C148DF" w14:paraId="1281DF82" w14:textId="77777777" w:rsidTr="00B27340">
        <w:trPr>
          <w:trHeight w:val="57"/>
        </w:trPr>
        <w:tc>
          <w:tcPr>
            <w:tcW w:w="9072" w:type="dxa"/>
          </w:tcPr>
          <w:p w14:paraId="32DAE4A2" w14:textId="77777777" w:rsidR="00B27340" w:rsidRPr="00C148DF" w:rsidRDefault="00B27340" w:rsidP="00B27340">
            <w:pPr>
              <w:pStyle w:val="Zkladntext3"/>
              <w:spacing w:line="259" w:lineRule="auto"/>
              <w:rPr>
                <w:rFonts w:ascii="Times New Roman" w:hAnsi="Times New Roman" w:cs="Times New Roman"/>
                <w:iCs/>
                <w:sz w:val="24"/>
                <w:szCs w:val="24"/>
              </w:rPr>
            </w:pPr>
            <w:r w:rsidRPr="00C148DF">
              <w:rPr>
                <w:rFonts w:ascii="Times New Roman" w:hAnsi="Times New Roman" w:cs="Times New Roman"/>
                <w:iCs/>
                <w:noProof/>
                <w:sz w:val="24"/>
                <w:szCs w:val="24"/>
                <w:lang w:eastAsia="sk-SK"/>
              </w:rPr>
              <w:drawing>
                <wp:inline distT="0" distB="0" distL="0" distR="0" wp14:anchorId="44DF8601" wp14:editId="4E24AC7A">
                  <wp:extent cx="5584190" cy="1993265"/>
                  <wp:effectExtent l="0" t="0" r="0" b="6985"/>
                  <wp:docPr id="230" name="Obrázo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4190" cy="1993265"/>
                          </a:xfrm>
                          <a:prstGeom prst="rect">
                            <a:avLst/>
                          </a:prstGeom>
                          <a:noFill/>
                        </pic:spPr>
                      </pic:pic>
                    </a:graphicData>
                  </a:graphic>
                </wp:inline>
              </w:drawing>
            </w:r>
          </w:p>
        </w:tc>
      </w:tr>
    </w:tbl>
    <w:p w14:paraId="1B683890" w14:textId="77777777" w:rsidR="00B27340" w:rsidRPr="00C148DF" w:rsidRDefault="00B27340" w:rsidP="00003436">
      <w:pPr>
        <w:spacing w:after="0"/>
        <w:jc w:val="both"/>
        <w:rPr>
          <w:rFonts w:ascii="Times New Roman" w:hAnsi="Times New Roman" w:cs="Times New Roman"/>
          <w:sz w:val="24"/>
          <w:szCs w:val="24"/>
        </w:rPr>
      </w:pPr>
    </w:p>
    <w:p w14:paraId="084E9C3C"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Na profiloch SK/CZ, SK/PL a SK/HU sú cezhraničné kapacity prideľované aj na </w:t>
      </w:r>
      <w:proofErr w:type="spellStart"/>
      <w:r w:rsidRPr="00C148DF">
        <w:rPr>
          <w:rFonts w:ascii="Times New Roman" w:hAnsi="Times New Roman" w:cs="Times New Roman"/>
          <w:sz w:val="24"/>
          <w:szCs w:val="24"/>
        </w:rPr>
        <w:t>vnútrodennej</w:t>
      </w:r>
      <w:proofErr w:type="spellEnd"/>
      <w:r w:rsidRPr="00C148DF">
        <w:rPr>
          <w:rFonts w:ascii="Times New Roman" w:hAnsi="Times New Roman" w:cs="Times New Roman"/>
          <w:sz w:val="24"/>
          <w:szCs w:val="24"/>
        </w:rPr>
        <w:t xml:space="preserve"> báze. Funkciu entity, ktorá zabezpečuje prideľovanie kapacít, vykonáva ČEPS. Kapacity sú prideľované bezodplatne, požiadavky na kapacitu sú vyhodnocované v poradí, v akom prídu do informačného systému </w:t>
      </w:r>
      <w:proofErr w:type="spellStart"/>
      <w:r w:rsidRPr="00C148DF">
        <w:rPr>
          <w:rFonts w:ascii="Times New Roman" w:hAnsi="Times New Roman" w:cs="Times New Roman"/>
          <w:sz w:val="24"/>
          <w:szCs w:val="24"/>
        </w:rPr>
        <w:t>alokátora</w:t>
      </w:r>
      <w:proofErr w:type="spellEnd"/>
      <w:r w:rsidRPr="00C148DF">
        <w:rPr>
          <w:rFonts w:ascii="Times New Roman" w:hAnsi="Times New Roman" w:cs="Times New Roman"/>
          <w:sz w:val="24"/>
          <w:szCs w:val="24"/>
        </w:rPr>
        <w:t xml:space="preserve"> kapacít. Kapacitné práva sú pridelené ako tzv. „práva s povinnosťou“, t. j. účastník trhu je povinný pridelené kapacitné práva využiť v plnom rozsahu. </w:t>
      </w:r>
      <w:proofErr w:type="spellStart"/>
      <w:r w:rsidRPr="00C148DF">
        <w:rPr>
          <w:rFonts w:ascii="Times New Roman" w:hAnsi="Times New Roman" w:cs="Times New Roman"/>
          <w:sz w:val="24"/>
          <w:szCs w:val="24"/>
        </w:rPr>
        <w:t>Vnútrodenné</w:t>
      </w:r>
      <w:proofErr w:type="spellEnd"/>
      <w:r w:rsidRPr="00C148DF">
        <w:rPr>
          <w:rFonts w:ascii="Times New Roman" w:hAnsi="Times New Roman" w:cs="Times New Roman"/>
          <w:sz w:val="24"/>
          <w:szCs w:val="24"/>
        </w:rPr>
        <w:t xml:space="preserve"> prideľovanie pre profil SK-PL prebieha v režime šiestich 4-hodinových seáns počas obchodného dňa, v prípade profilu SK-CZ a  SK-HU funguje režim dvadsaťštyri 1-hodinových seáns počas obchodného dňa. </w:t>
      </w:r>
      <w:proofErr w:type="spellStart"/>
      <w:r w:rsidRPr="00C148DF">
        <w:rPr>
          <w:rFonts w:ascii="Times New Roman" w:hAnsi="Times New Roman" w:cs="Times New Roman"/>
          <w:sz w:val="24"/>
          <w:szCs w:val="24"/>
        </w:rPr>
        <w:t>Vnútrodenné</w:t>
      </w:r>
      <w:proofErr w:type="spellEnd"/>
      <w:r w:rsidRPr="00C148DF">
        <w:rPr>
          <w:rFonts w:ascii="Times New Roman" w:hAnsi="Times New Roman" w:cs="Times New Roman"/>
          <w:sz w:val="24"/>
          <w:szCs w:val="24"/>
        </w:rPr>
        <w:t xml:space="preserve"> prideľovanie kapacít na profile SK/PL bolo počnúc 19.11.2019 na žiadosť PSE dočasne prerušené. 4.2.2020 bolo prideľovanie opätovné spustené.</w:t>
      </w:r>
    </w:p>
    <w:p w14:paraId="4ACC5033"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 xml:space="preserve">V súvislosti s nadobudnutím platnosti a účinnosti Nariadenia Komisie (EÚ) 2015/1222 z 24. júla 2015, ktorým sa stanovuje usmernenie pre prideľovanie kapacity a riadenie preťaženia </w:t>
      </w:r>
      <w:r w:rsidRPr="00C148DF">
        <w:rPr>
          <w:rFonts w:ascii="Times New Roman" w:hAnsi="Times New Roman" w:cs="Times New Roman"/>
          <w:sz w:val="24"/>
          <w:szCs w:val="24"/>
        </w:rPr>
        <w:lastRenderedPageBreak/>
        <w:t>(Nariadenie CACM) sa v budúcnosti očakáva výrazne širšie prepojenie denných a </w:t>
      </w:r>
      <w:proofErr w:type="spellStart"/>
      <w:r w:rsidRPr="00C148DF">
        <w:rPr>
          <w:rFonts w:ascii="Times New Roman" w:hAnsi="Times New Roman" w:cs="Times New Roman"/>
          <w:sz w:val="24"/>
          <w:szCs w:val="24"/>
        </w:rPr>
        <w:t>vnútrodenných</w:t>
      </w:r>
      <w:proofErr w:type="spellEnd"/>
      <w:r w:rsidRPr="00C148DF">
        <w:rPr>
          <w:rFonts w:ascii="Times New Roman" w:hAnsi="Times New Roman" w:cs="Times New Roman"/>
          <w:sz w:val="24"/>
          <w:szCs w:val="24"/>
        </w:rPr>
        <w:t xml:space="preserve"> trhov v rámci EÚ vedúce k vytvoreniu jednotného prepojenia týchto trhov, ktoré by umožnilo účastníkom trhu obchodovať elektrinu v rámci celej EÚ resp. EHP. Pre naplnenie tohto cieľa v rámci denného trhu je potrebné prepojiť dva veľké celky, v súčasnosti fungujúce ako prepojené denné trhy – 4M MC a tzv. </w:t>
      </w:r>
      <w:proofErr w:type="spellStart"/>
      <w:r w:rsidRPr="00C148DF">
        <w:rPr>
          <w:rFonts w:ascii="Times New Roman" w:hAnsi="Times New Roman" w:cs="Times New Roman"/>
          <w:sz w:val="24"/>
          <w:szCs w:val="24"/>
        </w:rPr>
        <w:t>Multi</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Regional</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Coupling</w:t>
      </w:r>
      <w:proofErr w:type="spellEnd"/>
      <w:r w:rsidRPr="00C148DF">
        <w:rPr>
          <w:rFonts w:ascii="Times New Roman" w:hAnsi="Times New Roman" w:cs="Times New Roman"/>
          <w:sz w:val="24"/>
          <w:szCs w:val="24"/>
        </w:rPr>
        <w:t xml:space="preserve"> (MRC), ktorý združuje krajiny západnej, severnej a južnej Európy. Spustenie jednotného integrovaného trhu do prevádzky je plánované v priebehu 2021.</w:t>
      </w:r>
    </w:p>
    <w:p w14:paraId="1E388286" w14:textId="30D7BF5D" w:rsidR="00B27340" w:rsidRPr="00B8646A" w:rsidRDefault="00B27340" w:rsidP="00B8646A">
      <w:pPr>
        <w:jc w:val="both"/>
        <w:rPr>
          <w:rFonts w:ascii="Times New Roman" w:hAnsi="Times New Roman" w:cs="Times New Roman"/>
          <w:b/>
          <w:sz w:val="24"/>
          <w:szCs w:val="24"/>
        </w:rPr>
      </w:pPr>
      <w:r w:rsidRPr="00C148DF">
        <w:rPr>
          <w:rFonts w:ascii="Times New Roman" w:hAnsi="Times New Roman" w:cs="Times New Roman"/>
          <w:iCs/>
          <w:sz w:val="24"/>
          <w:szCs w:val="24"/>
        </w:rPr>
        <w:t xml:space="preserve">V priebehu Q1 2020 bol zo strany SEPS úspešne realizovaný prístupový proces k celoeurópskemu projektu pre jednotné </w:t>
      </w:r>
      <w:proofErr w:type="spellStart"/>
      <w:r w:rsidRPr="00C148DF">
        <w:rPr>
          <w:rFonts w:ascii="Times New Roman" w:hAnsi="Times New Roman" w:cs="Times New Roman"/>
          <w:iCs/>
          <w:sz w:val="24"/>
          <w:szCs w:val="24"/>
        </w:rPr>
        <w:t>vnútrodenné</w:t>
      </w:r>
      <w:proofErr w:type="spellEnd"/>
      <w:r w:rsidRPr="00C148DF">
        <w:rPr>
          <w:rFonts w:ascii="Times New Roman" w:hAnsi="Times New Roman" w:cs="Times New Roman"/>
          <w:iCs/>
          <w:sz w:val="24"/>
          <w:szCs w:val="24"/>
        </w:rPr>
        <w:t xml:space="preserve"> obchodovanie SIDC-XBID. Implementácia a testovanie riešenia pre implicitné priebežné obchodovanie v rámci </w:t>
      </w:r>
      <w:proofErr w:type="spellStart"/>
      <w:r w:rsidRPr="00C148DF">
        <w:rPr>
          <w:rFonts w:ascii="Times New Roman" w:hAnsi="Times New Roman" w:cs="Times New Roman"/>
          <w:iCs/>
          <w:sz w:val="24"/>
          <w:szCs w:val="24"/>
        </w:rPr>
        <w:t>vnútrodenného</w:t>
      </w:r>
      <w:proofErr w:type="spellEnd"/>
      <w:r w:rsidRPr="00C148DF">
        <w:rPr>
          <w:rFonts w:ascii="Times New Roman" w:hAnsi="Times New Roman" w:cs="Times New Roman"/>
          <w:iCs/>
          <w:sz w:val="24"/>
          <w:szCs w:val="24"/>
        </w:rPr>
        <w:t xml:space="preserve"> trhu na báze SIDC-XBID je na hraniciach ponukovej oblasti SR, t.j., na profiloch SK/CZ, SK/PL a SK/HU plánovaná v priebehu rokov 2020/2021, s predpokladaným spustením riešenia v Q4 2021. Týmto krokom dôjde k nahradeniu súčasného riešenia na báze explicitného prideľovania na príslušných profiloch. </w:t>
      </w:r>
      <w:bookmarkStart w:id="15" w:name="_Toc46594170"/>
      <w:r w:rsidR="00B8646A">
        <w:rPr>
          <w:rFonts w:ascii="Times New Roman" w:hAnsi="Times New Roman" w:cs="Times New Roman"/>
          <w:iCs/>
          <w:sz w:val="24"/>
          <w:szCs w:val="24"/>
        </w:rPr>
        <w:br/>
      </w:r>
      <w:r w:rsidR="00B8646A">
        <w:rPr>
          <w:rFonts w:ascii="Times New Roman" w:hAnsi="Times New Roman" w:cs="Times New Roman"/>
          <w:iCs/>
          <w:sz w:val="24"/>
          <w:szCs w:val="24"/>
        </w:rPr>
        <w:br/>
      </w:r>
      <w:r w:rsidRPr="00B8646A">
        <w:rPr>
          <w:rFonts w:ascii="Times New Roman" w:hAnsi="Times New Roman" w:cs="Times New Roman"/>
          <w:b/>
          <w:sz w:val="24"/>
          <w:szCs w:val="24"/>
        </w:rPr>
        <w:t>Perspektívy zabezpečenia dodávok elektriny do roku 2035</w:t>
      </w:r>
      <w:bookmarkEnd w:id="15"/>
    </w:p>
    <w:p w14:paraId="78F405E6" w14:textId="77777777" w:rsidR="00B27340" w:rsidRPr="00C148DF" w:rsidRDefault="00B27340" w:rsidP="00003436">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 xml:space="preserve">Prognóza spotreby elektriny v SR je základným vstupom pre analýzu zabezpečenia dodávok elektriny v dlhodobom horizonte a pre celkové strategické smerovanie budúceho vývoja </w:t>
      </w:r>
      <w:proofErr w:type="spellStart"/>
      <w:r w:rsidRPr="00C148DF">
        <w:rPr>
          <w:rFonts w:ascii="Times New Roman" w:hAnsi="Times New Roman" w:cs="Times New Roman"/>
          <w:iCs/>
          <w:sz w:val="24"/>
          <w:szCs w:val="24"/>
        </w:rPr>
        <w:t>elektroenergetiky</w:t>
      </w:r>
      <w:proofErr w:type="spellEnd"/>
      <w:r w:rsidRPr="00C148DF">
        <w:rPr>
          <w:rFonts w:ascii="Times New Roman" w:hAnsi="Times New Roman" w:cs="Times New Roman"/>
          <w:iCs/>
          <w:sz w:val="24"/>
          <w:szCs w:val="24"/>
        </w:rPr>
        <w:t xml:space="preserve"> SR.</w:t>
      </w:r>
    </w:p>
    <w:p w14:paraId="449343BD" w14:textId="77777777" w:rsidR="00B27340" w:rsidRPr="00C148DF" w:rsidRDefault="00B27340" w:rsidP="00003436">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Výhľad spotreby elektriny pre nasledujúce obdobie vychádza zo záverov štúdie „Aktualizácia prognózy spotreby elektriny v SR do roku 2040 po jednotlivých rokoch s výhľadom do roku 2050“, ktorú pre potreby SEPS spracoval EGÚ Brno, a.s., v roku 2020. V nasledujúcich rokoch sa uvažuje s rastúcim trendom spotreby elektriny so zohľadnením veľkosti vlastnej spotreby pre očakávaný vývoj výrobnej základne.</w:t>
      </w:r>
    </w:p>
    <w:p w14:paraId="609A74D0" w14:textId="77777777" w:rsidR="00B27340" w:rsidRPr="00C148DF" w:rsidRDefault="00B27340" w:rsidP="00003436">
      <w:pPr>
        <w:jc w:val="both"/>
        <w:rPr>
          <w:rFonts w:ascii="Times New Roman" w:hAnsi="Times New Roman" w:cs="Times New Roman"/>
          <w:sz w:val="24"/>
          <w:szCs w:val="24"/>
        </w:rPr>
      </w:pPr>
      <w:r w:rsidRPr="00C148DF">
        <w:rPr>
          <w:rFonts w:ascii="Times New Roman" w:eastAsia="Times New Roman" w:hAnsi="Times New Roman" w:cs="Times New Roman"/>
          <w:iCs/>
          <w:sz w:val="24"/>
          <w:szCs w:val="24"/>
          <w:lang w:eastAsia="cs-CZ"/>
        </w:rPr>
        <w:t xml:space="preserve">Predpokladaný vývoj celkovej výroby elektrickej energie do roku 2035 je výsledkom tzv. </w:t>
      </w:r>
      <w:proofErr w:type="spellStart"/>
      <w:r w:rsidRPr="00C148DF">
        <w:rPr>
          <w:rFonts w:ascii="Times New Roman" w:eastAsia="Times New Roman" w:hAnsi="Times New Roman" w:cs="Times New Roman"/>
          <w:iCs/>
          <w:sz w:val="24"/>
          <w:szCs w:val="24"/>
          <w:lang w:eastAsia="cs-CZ"/>
        </w:rPr>
        <w:t>market</w:t>
      </w:r>
      <w:proofErr w:type="spellEnd"/>
      <w:r w:rsidRPr="00C148DF">
        <w:rPr>
          <w:rFonts w:ascii="Times New Roman" w:eastAsia="Times New Roman" w:hAnsi="Times New Roman" w:cs="Times New Roman"/>
          <w:iCs/>
          <w:sz w:val="24"/>
          <w:szCs w:val="24"/>
          <w:lang w:eastAsia="cs-CZ"/>
        </w:rPr>
        <w:t xml:space="preserve"> simulácie</w:t>
      </w:r>
      <w:r w:rsidRPr="00C148DF">
        <w:rPr>
          <w:rStyle w:val="Odkaznapoznmkupodiarou"/>
          <w:rFonts w:ascii="Times New Roman" w:hAnsi="Times New Roman" w:cs="Times New Roman"/>
          <w:iCs/>
          <w:sz w:val="24"/>
          <w:szCs w:val="24"/>
          <w:lang w:eastAsia="cs-CZ"/>
        </w:rPr>
        <w:footnoteReference w:id="5"/>
      </w:r>
      <w:r w:rsidRPr="00C148DF">
        <w:rPr>
          <w:rFonts w:ascii="Times New Roman" w:eastAsia="Times New Roman" w:hAnsi="Times New Roman" w:cs="Times New Roman"/>
          <w:iCs/>
          <w:sz w:val="24"/>
          <w:szCs w:val="24"/>
          <w:lang w:eastAsia="cs-CZ"/>
        </w:rPr>
        <w:t xml:space="preserve"> celoeurópskeho modelu.</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187"/>
      </w:tblGrid>
      <w:tr w:rsidR="00B27340" w:rsidRPr="00C148DF" w14:paraId="70D239CD" w14:textId="77777777" w:rsidTr="00B27340">
        <w:trPr>
          <w:trHeight w:val="295"/>
        </w:trPr>
        <w:tc>
          <w:tcPr>
            <w:tcW w:w="9186" w:type="dxa"/>
          </w:tcPr>
          <w:p w14:paraId="20803086" w14:textId="77777777" w:rsidR="00B27340" w:rsidRPr="00C148DF" w:rsidRDefault="00B27340" w:rsidP="00B27340">
            <w:pPr>
              <w:pStyle w:val="Zkladntext3"/>
              <w:spacing w:line="259" w:lineRule="auto"/>
              <w:jc w:val="center"/>
              <w:rPr>
                <w:rFonts w:ascii="Times New Roman" w:hAnsi="Times New Roman" w:cs="Times New Roman"/>
                <w:b/>
                <w:i/>
                <w:iCs/>
                <w:sz w:val="24"/>
                <w:szCs w:val="24"/>
              </w:rPr>
            </w:pPr>
            <w:r w:rsidRPr="00C148DF">
              <w:rPr>
                <w:rFonts w:ascii="Times New Roman" w:hAnsi="Times New Roman" w:cs="Times New Roman"/>
                <w:b/>
                <w:i/>
                <w:iCs/>
                <w:noProof/>
                <w:sz w:val="24"/>
                <w:szCs w:val="24"/>
                <w:lang w:eastAsia="sk-SK"/>
              </w:rPr>
              <w:lastRenderedPageBreak/>
              <w:drawing>
                <wp:inline distT="0" distB="0" distL="0" distR="0" wp14:anchorId="6FF9B589" wp14:editId="59B63437">
                  <wp:extent cx="5328534" cy="2794884"/>
                  <wp:effectExtent l="0" t="0" r="0" b="571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3256" cy="2802606"/>
                          </a:xfrm>
                          <a:prstGeom prst="rect">
                            <a:avLst/>
                          </a:prstGeom>
                          <a:noFill/>
                        </pic:spPr>
                      </pic:pic>
                    </a:graphicData>
                  </a:graphic>
                </wp:inline>
              </w:drawing>
            </w:r>
          </w:p>
        </w:tc>
      </w:tr>
      <w:tr w:rsidR="00B27340" w:rsidRPr="00C148DF" w14:paraId="3B5EC179" w14:textId="77777777" w:rsidTr="00B27340">
        <w:trPr>
          <w:trHeight w:val="295"/>
        </w:trPr>
        <w:tc>
          <w:tcPr>
            <w:tcW w:w="9186" w:type="dxa"/>
          </w:tcPr>
          <w:p w14:paraId="4C00655C"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b/>
                <w:iCs/>
                <w:sz w:val="24"/>
                <w:szCs w:val="24"/>
              </w:rPr>
              <w:t xml:space="preserve">Obr. 3.1  </w:t>
            </w:r>
            <w:r w:rsidRPr="00C148DF">
              <w:rPr>
                <w:rFonts w:ascii="Times New Roman" w:hAnsi="Times New Roman" w:cs="Times New Roman"/>
                <w:iCs/>
                <w:sz w:val="24"/>
                <w:szCs w:val="24"/>
              </w:rPr>
              <w:t>Prognóza vývoja celkovej spotreby elektriny na Slovensku v rokoch 2019 až 2035 (priemerný rast do roku 2035 vztiahnutý k roku 2019)</w:t>
            </w:r>
          </w:p>
          <w:p w14:paraId="463D45E0" w14:textId="77777777" w:rsidR="00B27340" w:rsidRPr="00C148DF" w:rsidRDefault="00B27340" w:rsidP="00B27340">
            <w:pPr>
              <w:pStyle w:val="Zkladntext3"/>
              <w:spacing w:line="259" w:lineRule="auto"/>
              <w:jc w:val="center"/>
              <w:rPr>
                <w:rFonts w:ascii="Times New Roman" w:hAnsi="Times New Roman" w:cs="Times New Roman"/>
                <w:b/>
                <w:iCs/>
                <w:noProof/>
                <w:sz w:val="24"/>
                <w:szCs w:val="24"/>
                <w:lang w:eastAsia="sk-SK"/>
              </w:rPr>
            </w:pPr>
          </w:p>
          <w:p w14:paraId="37AE78D8" w14:textId="77777777" w:rsidR="00B27340" w:rsidRPr="00C148DF" w:rsidRDefault="00B27340" w:rsidP="00B27340">
            <w:pPr>
              <w:pStyle w:val="Zkladntext3"/>
              <w:spacing w:line="259" w:lineRule="auto"/>
              <w:rPr>
                <w:rFonts w:ascii="Times New Roman" w:hAnsi="Times New Roman" w:cs="Times New Roman"/>
                <w:b/>
                <w:iCs/>
                <w:noProof/>
                <w:sz w:val="24"/>
                <w:szCs w:val="24"/>
                <w:lang w:eastAsia="sk-SK"/>
              </w:rPr>
            </w:pPr>
            <w:r w:rsidRPr="00C148DF">
              <w:rPr>
                <w:rFonts w:ascii="Times New Roman" w:hAnsi="Times New Roman" w:cs="Times New Roman"/>
                <w:b/>
                <w:iCs/>
                <w:sz w:val="24"/>
                <w:szCs w:val="24"/>
              </w:rPr>
              <w:t xml:space="preserve">Tab. 3.1  </w:t>
            </w:r>
            <w:r w:rsidRPr="00C148DF">
              <w:rPr>
                <w:rFonts w:ascii="Times New Roman" w:hAnsi="Times New Roman" w:cs="Times New Roman"/>
                <w:iCs/>
                <w:sz w:val="24"/>
                <w:szCs w:val="24"/>
              </w:rPr>
              <w:t>Prognóza vývoja celkovej spotreby elektriny na Slovensku (</w:t>
            </w:r>
            <w:proofErr w:type="spellStart"/>
            <w:r w:rsidRPr="00C148DF">
              <w:rPr>
                <w:rFonts w:ascii="Times New Roman" w:hAnsi="Times New Roman" w:cs="Times New Roman"/>
                <w:iCs/>
                <w:sz w:val="24"/>
                <w:szCs w:val="24"/>
              </w:rPr>
              <w:t>TWh</w:t>
            </w:r>
            <w:proofErr w:type="spellEnd"/>
            <w:r w:rsidRPr="00C148DF">
              <w:rPr>
                <w:rFonts w:ascii="Times New Roman" w:hAnsi="Times New Roman" w:cs="Times New Roman"/>
                <w:iCs/>
                <w:sz w:val="24"/>
                <w:szCs w:val="24"/>
              </w:rPr>
              <w:t>)</w:t>
            </w:r>
          </w:p>
        </w:tc>
      </w:tr>
      <w:tr w:rsidR="00B27340" w:rsidRPr="00C148DF" w14:paraId="1E8B878D" w14:textId="77777777" w:rsidTr="00B27340">
        <w:trPr>
          <w:trHeight w:val="1144"/>
        </w:trPr>
        <w:tc>
          <w:tcPr>
            <w:tcW w:w="9186" w:type="dxa"/>
          </w:tcPr>
          <w:p w14:paraId="3D3111FA"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iCs/>
                <w:noProof/>
                <w:sz w:val="24"/>
                <w:szCs w:val="24"/>
                <w:lang w:eastAsia="sk-SK"/>
              </w:rPr>
              <w:drawing>
                <wp:inline distT="0" distB="0" distL="0" distR="0" wp14:anchorId="3DFE0DF4" wp14:editId="566A19AA">
                  <wp:extent cx="5761355" cy="756285"/>
                  <wp:effectExtent l="0" t="0" r="0" b="5715"/>
                  <wp:docPr id="239" name="Obrázo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355" cy="756285"/>
                          </a:xfrm>
                          <a:prstGeom prst="rect">
                            <a:avLst/>
                          </a:prstGeom>
                          <a:noFill/>
                        </pic:spPr>
                      </pic:pic>
                    </a:graphicData>
                  </a:graphic>
                </wp:inline>
              </w:drawing>
            </w:r>
          </w:p>
        </w:tc>
      </w:tr>
    </w:tbl>
    <w:p w14:paraId="69DBFCFE" w14:textId="77777777" w:rsidR="00B27340" w:rsidRPr="00C148DF" w:rsidRDefault="00B27340" w:rsidP="00003436">
      <w:pPr>
        <w:pStyle w:val="Zkladntext3"/>
        <w:spacing w:before="160"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 xml:space="preserve">Analýza zabezpečenia dodávok elektriny v SR do roku 2035 vychádza z predpokladov prognózy spotreby elektriny a očakávaného vývoja disponibilnej výroby elektriny v zariadeniach na výrobu elektriny v SR. Na základe predpokladov PPS sa v očakávanom zdrojovom mixe ES SR predpokladá dostavba a uvedenie EMO 3, 4 do prevádzky, prevádzka existujúcich zariadení na výrobu elektriny vrátane PPC Malženice a rozvoj OZE podľa príspevku SR k cieľom EÚ do roku 2030. V očakávanom zdrojovom mixe SR v období po roku 2023 dôjde k ukončeniu prevádzky ENO B </w:t>
      </w:r>
      <w:proofErr w:type="spellStart"/>
      <w:r w:rsidRPr="00C148DF">
        <w:rPr>
          <w:rFonts w:ascii="Times New Roman" w:hAnsi="Times New Roman" w:cs="Times New Roman"/>
          <w:iCs/>
          <w:sz w:val="24"/>
          <w:szCs w:val="24"/>
        </w:rPr>
        <w:t>bl</w:t>
      </w:r>
      <w:proofErr w:type="spellEnd"/>
      <w:r w:rsidRPr="00C148DF">
        <w:rPr>
          <w:rFonts w:ascii="Times New Roman" w:hAnsi="Times New Roman" w:cs="Times New Roman"/>
          <w:iCs/>
          <w:sz w:val="24"/>
          <w:szCs w:val="24"/>
        </w:rPr>
        <w:t>. 1 a 2 a od roku 2028 sa neuvažuje s prevádzkou EVO 1 </w:t>
      </w:r>
      <w:proofErr w:type="spellStart"/>
      <w:r w:rsidRPr="00C148DF">
        <w:rPr>
          <w:rFonts w:ascii="Times New Roman" w:hAnsi="Times New Roman" w:cs="Times New Roman"/>
          <w:iCs/>
          <w:sz w:val="24"/>
          <w:szCs w:val="24"/>
        </w:rPr>
        <w:t>bl</w:t>
      </w:r>
      <w:proofErr w:type="spellEnd"/>
      <w:r w:rsidRPr="00C148DF">
        <w:rPr>
          <w:rFonts w:ascii="Times New Roman" w:hAnsi="Times New Roman" w:cs="Times New Roman"/>
          <w:iCs/>
          <w:sz w:val="24"/>
          <w:szCs w:val="24"/>
        </w:rPr>
        <w:t>. 5 a 6. Za uvedených okolností by disponibilná výroba elektriny prevyšovala od roku 2022 očakávanú spotrebu elektriny v SR. Veľkosť prebytku disponibilného výkonu zariadení na výrobu elektriny na území SR bude závisieť aj od rozsahu výstavby ďalších nových výrobní.</w:t>
      </w:r>
    </w:p>
    <w:p w14:paraId="37859522" w14:textId="77777777" w:rsidR="00B27340" w:rsidRPr="00C148DF" w:rsidRDefault="00B27340" w:rsidP="00B27340">
      <w:pPr>
        <w:pStyle w:val="Zkladntext3"/>
        <w:spacing w:line="259" w:lineRule="auto"/>
        <w:rPr>
          <w:rFonts w:ascii="Times New Roman" w:hAnsi="Times New Roman" w:cs="Times New Roman"/>
          <w:iCs/>
          <w:sz w:val="24"/>
          <w:szCs w:val="24"/>
        </w:rPr>
      </w:pPr>
      <w:r w:rsidRPr="00C148DF">
        <w:rPr>
          <w:rFonts w:ascii="Times New Roman" w:hAnsi="Times New Roman" w:cs="Times New Roman"/>
          <w:b/>
          <w:iCs/>
          <w:sz w:val="24"/>
          <w:szCs w:val="24"/>
        </w:rPr>
        <w:t xml:space="preserve">Tab. 3.2  </w:t>
      </w:r>
      <w:r w:rsidRPr="00C148DF">
        <w:rPr>
          <w:rFonts w:ascii="Times New Roman" w:hAnsi="Times New Roman" w:cs="Times New Roman"/>
          <w:iCs/>
          <w:sz w:val="24"/>
          <w:szCs w:val="24"/>
        </w:rPr>
        <w:t>Predpokladaná bilancia spotreby a výroby elektriny v SR do roku 2035 (</w:t>
      </w:r>
      <w:proofErr w:type="spellStart"/>
      <w:r w:rsidRPr="00C148DF">
        <w:rPr>
          <w:rFonts w:ascii="Times New Roman" w:hAnsi="Times New Roman" w:cs="Times New Roman"/>
          <w:iCs/>
          <w:sz w:val="24"/>
          <w:szCs w:val="24"/>
        </w:rPr>
        <w:t>TWh</w:t>
      </w:r>
      <w:proofErr w:type="spellEnd"/>
      <w:r w:rsidRPr="00C148DF">
        <w:rPr>
          <w:rFonts w:ascii="Times New Roman" w:hAnsi="Times New Roman" w:cs="Times New Roman"/>
          <w:b/>
          <w:iCs/>
          <w:sz w:val="24"/>
          <w:szCs w:val="24"/>
        </w:rPr>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186"/>
      </w:tblGrid>
      <w:tr w:rsidR="00B27340" w:rsidRPr="00C148DF" w14:paraId="7C53F160" w14:textId="77777777" w:rsidTr="00B27340">
        <w:trPr>
          <w:trHeight w:val="1144"/>
        </w:trPr>
        <w:tc>
          <w:tcPr>
            <w:tcW w:w="9186" w:type="dxa"/>
          </w:tcPr>
          <w:p w14:paraId="1AB712AB"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noProof/>
                <w:sz w:val="24"/>
                <w:szCs w:val="24"/>
                <w:lang w:eastAsia="sk-SK"/>
              </w:rPr>
              <w:drawing>
                <wp:inline distT="0" distB="0" distL="0" distR="0" wp14:anchorId="3F67684C" wp14:editId="7D1907C5">
                  <wp:extent cx="5760720" cy="1015617"/>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1015617"/>
                          </a:xfrm>
                          <a:prstGeom prst="rect">
                            <a:avLst/>
                          </a:prstGeom>
                          <a:noFill/>
                          <a:ln>
                            <a:noFill/>
                          </a:ln>
                        </pic:spPr>
                      </pic:pic>
                    </a:graphicData>
                  </a:graphic>
                </wp:inline>
              </w:drawing>
            </w:r>
          </w:p>
        </w:tc>
      </w:tr>
    </w:tbl>
    <w:p w14:paraId="3B5FE61D"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 xml:space="preserve">Uvedením tretieho bloku JE Mochovce  do prevádzky nastane výrazný pokles v súčasnosti evidovaného importného salda. K zmene importného charakteru bilancie ES SR na exportný dôjde až po spustení štvrtého bloku JE Mochovce do komerčnej prevádzky. V celom sledovanom období </w:t>
      </w:r>
      <w:r w:rsidRPr="00C148DF">
        <w:rPr>
          <w:rFonts w:ascii="Times New Roman" w:hAnsi="Times New Roman" w:cs="Times New Roman"/>
          <w:sz w:val="24"/>
          <w:szCs w:val="24"/>
        </w:rPr>
        <w:lastRenderedPageBreak/>
        <w:t>nie je uvažované s pravidelnou výrobou PPC Bratislava. Potenciálna výroba tohto zariadenia je 1 </w:t>
      </w:r>
      <w:proofErr w:type="spellStart"/>
      <w:r w:rsidRPr="00C148DF">
        <w:rPr>
          <w:rFonts w:ascii="Times New Roman" w:hAnsi="Times New Roman" w:cs="Times New Roman"/>
          <w:sz w:val="24"/>
          <w:szCs w:val="24"/>
        </w:rPr>
        <w:t>TWh</w:t>
      </w:r>
      <w:proofErr w:type="spellEnd"/>
      <w:r w:rsidRPr="00C148DF">
        <w:rPr>
          <w:rFonts w:ascii="Times New Roman" w:hAnsi="Times New Roman" w:cs="Times New Roman"/>
          <w:sz w:val="24"/>
          <w:szCs w:val="24"/>
        </w:rPr>
        <w:t xml:space="preserve">. Pokiaľ bude toto významné zariadenie na výrobu elektriny znovu uvedené do pravidelnej prevádzky, celková výroba elektriny v SR vzrastie a s ňou úmerne aj bilančné saldo.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072"/>
      </w:tblGrid>
      <w:tr w:rsidR="00B27340" w:rsidRPr="00C148DF" w14:paraId="00BDCD1F" w14:textId="77777777" w:rsidTr="00B27340">
        <w:trPr>
          <w:trHeight w:val="1144"/>
        </w:trPr>
        <w:tc>
          <w:tcPr>
            <w:tcW w:w="9072" w:type="dxa"/>
          </w:tcPr>
          <w:p w14:paraId="690BB223"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iCs/>
                <w:noProof/>
                <w:sz w:val="24"/>
                <w:szCs w:val="24"/>
                <w:lang w:eastAsia="sk-SK"/>
              </w:rPr>
              <w:drawing>
                <wp:inline distT="0" distB="0" distL="0" distR="0" wp14:anchorId="444BFA71" wp14:editId="31D38DDA">
                  <wp:extent cx="5669579" cy="2670175"/>
                  <wp:effectExtent l="0" t="0" r="762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3056" cy="2676522"/>
                          </a:xfrm>
                          <a:prstGeom prst="rect">
                            <a:avLst/>
                          </a:prstGeom>
                          <a:noFill/>
                        </pic:spPr>
                      </pic:pic>
                    </a:graphicData>
                  </a:graphic>
                </wp:inline>
              </w:drawing>
            </w:r>
          </w:p>
        </w:tc>
      </w:tr>
      <w:tr w:rsidR="00B27340" w:rsidRPr="00C148DF" w14:paraId="6DF33076" w14:textId="77777777" w:rsidTr="00B27340">
        <w:trPr>
          <w:trHeight w:val="295"/>
        </w:trPr>
        <w:tc>
          <w:tcPr>
            <w:tcW w:w="9072" w:type="dxa"/>
          </w:tcPr>
          <w:p w14:paraId="0C72E107"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b/>
                <w:iCs/>
                <w:sz w:val="24"/>
                <w:szCs w:val="24"/>
              </w:rPr>
              <w:t xml:space="preserve">Obr. 3.2  </w:t>
            </w:r>
            <w:r w:rsidRPr="00C148DF">
              <w:rPr>
                <w:rFonts w:ascii="Times New Roman" w:hAnsi="Times New Roman" w:cs="Times New Roman"/>
                <w:iCs/>
                <w:sz w:val="24"/>
                <w:szCs w:val="24"/>
              </w:rPr>
              <w:t>Prognóza vývoja spotreby elektriny a jej pokrývania disponibilnou výrobou elektriny podľa očakávaného vývoja do roku 2035</w:t>
            </w:r>
          </w:p>
          <w:p w14:paraId="2E2F76F4" w14:textId="77777777" w:rsidR="00B27340" w:rsidRPr="00C148DF" w:rsidRDefault="00B27340" w:rsidP="00B27340">
            <w:pPr>
              <w:pStyle w:val="Zkladntext3"/>
              <w:spacing w:line="259" w:lineRule="auto"/>
              <w:jc w:val="center"/>
              <w:rPr>
                <w:rFonts w:ascii="Times New Roman" w:hAnsi="Times New Roman" w:cs="Times New Roman"/>
                <w:b/>
                <w:iCs/>
                <w:sz w:val="24"/>
                <w:szCs w:val="24"/>
              </w:rPr>
            </w:pPr>
          </w:p>
        </w:tc>
      </w:tr>
    </w:tbl>
    <w:p w14:paraId="259721CE" w14:textId="77777777" w:rsidR="00B27340" w:rsidRPr="00C148DF" w:rsidRDefault="00B27340" w:rsidP="00B27340">
      <w:pPr>
        <w:rPr>
          <w:rFonts w:ascii="Times New Roman" w:hAnsi="Times New Roman" w:cs="Times New Roman"/>
          <w:sz w:val="24"/>
          <w:szCs w:val="24"/>
        </w:rPr>
      </w:pPr>
      <w:r w:rsidRPr="00C148DF">
        <w:rPr>
          <w:rFonts w:ascii="Times New Roman" w:hAnsi="Times New Roman" w:cs="Times New Roman"/>
          <w:sz w:val="24"/>
          <w:szCs w:val="24"/>
        </w:rPr>
        <w:t>Z uvedeného vyplýva, že pre dosiahnutie vyrovnanej bilancie medzi spotrebou a výrobou do roku 2035, pri predpoklade dokončenia už rozostavaných výrobných kapacít a predpokladanej realizácie projektov OZE, nebude potrebná výstavba ďalších väčších elektrární.</w:t>
      </w:r>
    </w:p>
    <w:p w14:paraId="31F8B287" w14:textId="77777777" w:rsidR="00B27340" w:rsidRPr="00C148DF" w:rsidRDefault="00B27340" w:rsidP="00B27340">
      <w:pPr>
        <w:spacing w:after="0"/>
        <w:rPr>
          <w:rFonts w:ascii="Times New Roman" w:hAnsi="Times New Roman" w:cs="Times New Roman"/>
          <w:sz w:val="24"/>
          <w:szCs w:val="24"/>
        </w:rPr>
      </w:pPr>
      <w:r w:rsidRPr="00C148DF">
        <w:rPr>
          <w:rFonts w:ascii="Times New Roman" w:hAnsi="Times New Roman" w:cs="Times New Roman"/>
          <w:b/>
          <w:iCs/>
          <w:sz w:val="24"/>
          <w:szCs w:val="24"/>
        </w:rPr>
        <w:t xml:space="preserve">Tab. 3.3  </w:t>
      </w:r>
      <w:r w:rsidRPr="00C148DF">
        <w:rPr>
          <w:rFonts w:ascii="Times New Roman" w:hAnsi="Times New Roman" w:cs="Times New Roman"/>
          <w:iCs/>
          <w:sz w:val="24"/>
          <w:szCs w:val="24"/>
        </w:rPr>
        <w:t>Prognóza vývoja podielu disponibilnej výroby elektriny podľa očakávaného vývoja na spotrebe elektriny SR v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072"/>
      </w:tblGrid>
      <w:tr w:rsidR="00B27340" w:rsidRPr="00C148DF" w14:paraId="05C18B4D" w14:textId="77777777" w:rsidTr="00B27340">
        <w:trPr>
          <w:trHeight w:val="295"/>
        </w:trPr>
        <w:tc>
          <w:tcPr>
            <w:tcW w:w="9072" w:type="dxa"/>
          </w:tcPr>
          <w:p w14:paraId="2CE5C4F4" w14:textId="77777777" w:rsidR="00B27340" w:rsidRPr="00C148DF" w:rsidRDefault="00B27340" w:rsidP="00B27340">
            <w:pPr>
              <w:pStyle w:val="Zkladntext3"/>
              <w:spacing w:line="259" w:lineRule="auto"/>
              <w:rPr>
                <w:rFonts w:ascii="Times New Roman" w:hAnsi="Times New Roman" w:cs="Times New Roman"/>
                <w:b/>
                <w:i/>
                <w:iCs/>
                <w:sz w:val="24"/>
                <w:szCs w:val="24"/>
              </w:rPr>
            </w:pPr>
            <w:r w:rsidRPr="00C148DF">
              <w:rPr>
                <w:rFonts w:ascii="Times New Roman" w:hAnsi="Times New Roman" w:cs="Times New Roman"/>
                <w:noProof/>
                <w:sz w:val="24"/>
                <w:szCs w:val="24"/>
                <w:lang w:eastAsia="sk-SK"/>
              </w:rPr>
              <w:drawing>
                <wp:inline distT="0" distB="0" distL="0" distR="0" wp14:anchorId="1BF5C501" wp14:editId="3E9384EA">
                  <wp:extent cx="5367131" cy="957132"/>
                  <wp:effectExtent l="0" t="0" r="5080" b="0"/>
                  <wp:docPr id="226" name="Obrázo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6302" cy="965901"/>
                          </a:xfrm>
                          <a:prstGeom prst="rect">
                            <a:avLst/>
                          </a:prstGeom>
                          <a:noFill/>
                          <a:ln>
                            <a:noFill/>
                          </a:ln>
                        </pic:spPr>
                      </pic:pic>
                    </a:graphicData>
                  </a:graphic>
                </wp:inline>
              </w:drawing>
            </w:r>
          </w:p>
        </w:tc>
      </w:tr>
    </w:tbl>
    <w:p w14:paraId="6D09C776" w14:textId="77777777" w:rsidR="00B27340" w:rsidRPr="00C148DF" w:rsidRDefault="00B27340" w:rsidP="00DB5342">
      <w:pPr>
        <w:pStyle w:val="Zkladntext3"/>
        <w:spacing w:before="120"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 xml:space="preserve">SR má v súčasnosti podiel </w:t>
      </w:r>
      <w:proofErr w:type="spellStart"/>
      <w:r w:rsidRPr="00C148DF">
        <w:rPr>
          <w:rFonts w:ascii="Times New Roman" w:hAnsi="Times New Roman" w:cs="Times New Roman"/>
          <w:iCs/>
          <w:sz w:val="24"/>
          <w:szCs w:val="24"/>
        </w:rPr>
        <w:t>bezuhlíkovej</w:t>
      </w:r>
      <w:proofErr w:type="spellEnd"/>
      <w:r w:rsidRPr="00C148DF">
        <w:rPr>
          <w:rFonts w:ascii="Times New Roman" w:hAnsi="Times New Roman" w:cs="Times New Roman"/>
          <w:iCs/>
          <w:sz w:val="24"/>
          <w:szCs w:val="24"/>
        </w:rPr>
        <w:t xml:space="preserve"> výroby elektriny na úrovni 73,9 % celkovej spotreby elektriny. Podiel </w:t>
      </w:r>
      <w:proofErr w:type="spellStart"/>
      <w:r w:rsidRPr="00C148DF">
        <w:rPr>
          <w:rFonts w:ascii="Times New Roman" w:hAnsi="Times New Roman" w:cs="Times New Roman"/>
          <w:iCs/>
          <w:sz w:val="24"/>
          <w:szCs w:val="24"/>
        </w:rPr>
        <w:t>bezuhlíkových</w:t>
      </w:r>
      <w:proofErr w:type="spellEnd"/>
      <w:r w:rsidRPr="00C148DF">
        <w:rPr>
          <w:rFonts w:ascii="Times New Roman" w:hAnsi="Times New Roman" w:cs="Times New Roman"/>
          <w:iCs/>
          <w:sz w:val="24"/>
          <w:szCs w:val="24"/>
        </w:rPr>
        <w:t xml:space="preserve"> technológii v roku 2025 na predpokladanej spotrebe elektriny v SR môže po dostavbe EMO 3, 4 a dosiahnutí cieľov výroby elektriny z OZE podľa návrhu INECP SR dosiahnuť až 92 %.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072"/>
      </w:tblGrid>
      <w:tr w:rsidR="00B27340" w:rsidRPr="00C148DF" w14:paraId="4DD6382B" w14:textId="77777777" w:rsidTr="00B27340">
        <w:trPr>
          <w:trHeight w:val="4205"/>
        </w:trPr>
        <w:tc>
          <w:tcPr>
            <w:tcW w:w="9072" w:type="dxa"/>
          </w:tcPr>
          <w:p w14:paraId="2B35E671"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iCs/>
                <w:noProof/>
                <w:sz w:val="24"/>
                <w:szCs w:val="24"/>
                <w:lang w:eastAsia="sk-SK"/>
              </w:rPr>
              <w:lastRenderedPageBreak/>
              <w:drawing>
                <wp:inline distT="0" distB="0" distL="0" distR="0" wp14:anchorId="3C5EDEC6" wp14:editId="1E951CA3">
                  <wp:extent cx="5342241" cy="2782957"/>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4823" cy="2794721"/>
                          </a:xfrm>
                          <a:prstGeom prst="rect">
                            <a:avLst/>
                          </a:prstGeom>
                          <a:noFill/>
                        </pic:spPr>
                      </pic:pic>
                    </a:graphicData>
                  </a:graphic>
                </wp:inline>
              </w:drawing>
            </w:r>
          </w:p>
        </w:tc>
      </w:tr>
      <w:tr w:rsidR="00B27340" w:rsidRPr="00C148DF" w14:paraId="5C9B82B7" w14:textId="77777777" w:rsidTr="00B27340">
        <w:trPr>
          <w:trHeight w:val="295"/>
        </w:trPr>
        <w:tc>
          <w:tcPr>
            <w:tcW w:w="9072" w:type="dxa"/>
          </w:tcPr>
          <w:p w14:paraId="2E35AF86" w14:textId="77777777" w:rsidR="00B27340" w:rsidRPr="00C148DF" w:rsidRDefault="00B27340" w:rsidP="00B27340">
            <w:pPr>
              <w:pStyle w:val="Zkladntext3"/>
              <w:spacing w:line="259" w:lineRule="auto"/>
              <w:jc w:val="center"/>
              <w:rPr>
                <w:rFonts w:ascii="Times New Roman" w:hAnsi="Times New Roman" w:cs="Times New Roman"/>
                <w:b/>
                <w:iCs/>
                <w:sz w:val="24"/>
                <w:szCs w:val="24"/>
              </w:rPr>
            </w:pPr>
            <w:r w:rsidRPr="00C148DF">
              <w:rPr>
                <w:rFonts w:ascii="Times New Roman" w:hAnsi="Times New Roman" w:cs="Times New Roman"/>
                <w:b/>
                <w:iCs/>
                <w:sz w:val="24"/>
                <w:szCs w:val="24"/>
              </w:rPr>
              <w:t xml:space="preserve">Obr. 3.3  </w:t>
            </w:r>
            <w:r w:rsidRPr="00C148DF">
              <w:rPr>
                <w:rFonts w:ascii="Times New Roman" w:hAnsi="Times New Roman" w:cs="Times New Roman"/>
                <w:iCs/>
                <w:sz w:val="24"/>
                <w:szCs w:val="24"/>
              </w:rPr>
              <w:t>Prognóza vývoja podielu disponibilnej výroby elektriny na spotrebe elektriny SR v %</w:t>
            </w:r>
          </w:p>
        </w:tc>
      </w:tr>
    </w:tbl>
    <w:p w14:paraId="54F29AEB" w14:textId="77777777" w:rsidR="00B27340" w:rsidRPr="00C148DF" w:rsidRDefault="00B27340" w:rsidP="00003436">
      <w:pPr>
        <w:spacing w:before="120"/>
        <w:jc w:val="both"/>
        <w:rPr>
          <w:rFonts w:ascii="Times New Roman" w:eastAsia="Times New Roman" w:hAnsi="Times New Roman" w:cs="Times New Roman"/>
          <w:iCs/>
          <w:sz w:val="24"/>
          <w:szCs w:val="24"/>
          <w:lang w:eastAsia="cs-CZ"/>
        </w:rPr>
      </w:pPr>
      <w:r w:rsidRPr="00C148DF">
        <w:rPr>
          <w:rFonts w:ascii="Times New Roman" w:eastAsia="Times New Roman" w:hAnsi="Times New Roman" w:cs="Times New Roman"/>
          <w:iCs/>
          <w:sz w:val="24"/>
          <w:szCs w:val="24"/>
          <w:lang w:eastAsia="cs-CZ"/>
        </w:rPr>
        <w:t>Dôležitým aspektom pri rozvoji zdrojovej základne je zabezpečenie systémovej dostatočnosti, tzn. zabezpečenie optimálneho zdrojového mixu pre bezpečné a spoľahlivé prevádzkovanie sústavy. Spôsob prevádzky zariadení na výrobu elektriny v ES SR vzhľadom na ich povahu a regulačné možnosti výrazne ovplyvňuje prevádzku systému. Napríklad jadrové elektrárne z dôvodu efektivity využívania primárneho paliva majú obmedzené regulačné schopnosti. Rovnako nie je možné uvažovať s využitím OZE pri riešení krízových stavov.</w:t>
      </w:r>
    </w:p>
    <w:p w14:paraId="7A2E0D8C" w14:textId="77777777" w:rsidR="00B27340" w:rsidRPr="00C148DF" w:rsidRDefault="00B27340" w:rsidP="00003436">
      <w:pPr>
        <w:jc w:val="both"/>
        <w:rPr>
          <w:rFonts w:ascii="Times New Roman" w:hAnsi="Times New Roman" w:cs="Times New Roman"/>
          <w:sz w:val="24"/>
          <w:szCs w:val="24"/>
          <w:lang w:eastAsia="cs-CZ"/>
        </w:rPr>
      </w:pPr>
      <w:r w:rsidRPr="00C148DF">
        <w:rPr>
          <w:rFonts w:ascii="Times New Roman" w:hAnsi="Times New Roman" w:cs="Times New Roman"/>
          <w:sz w:val="24"/>
          <w:szCs w:val="24"/>
          <w:lang w:eastAsia="cs-CZ"/>
        </w:rPr>
        <w:t xml:space="preserve">Hodnotenie zdrojovej dostatočnosti ES SR vychádza, rovnako ako hodnotenie disponibility </w:t>
      </w:r>
      <w:proofErr w:type="spellStart"/>
      <w:r w:rsidRPr="00C148DF">
        <w:rPr>
          <w:rFonts w:ascii="Times New Roman" w:hAnsi="Times New Roman" w:cs="Times New Roman"/>
          <w:sz w:val="24"/>
          <w:szCs w:val="24"/>
          <w:lang w:eastAsia="cs-CZ"/>
        </w:rPr>
        <w:t>PpS</w:t>
      </w:r>
      <w:proofErr w:type="spellEnd"/>
      <w:r w:rsidRPr="00C148DF">
        <w:rPr>
          <w:rFonts w:ascii="Times New Roman" w:hAnsi="Times New Roman" w:cs="Times New Roman"/>
          <w:sz w:val="24"/>
          <w:szCs w:val="24"/>
          <w:lang w:eastAsia="cs-CZ"/>
        </w:rPr>
        <w:t xml:space="preserve"> v kapitole 2.3, z </w:t>
      </w:r>
      <w:proofErr w:type="spellStart"/>
      <w:r w:rsidRPr="00C148DF">
        <w:rPr>
          <w:rFonts w:ascii="Times New Roman" w:hAnsi="Times New Roman" w:cs="Times New Roman"/>
          <w:sz w:val="24"/>
          <w:szCs w:val="24"/>
          <w:lang w:eastAsia="cs-CZ"/>
        </w:rPr>
        <w:t>market-simulácie</w:t>
      </w:r>
      <w:proofErr w:type="spellEnd"/>
      <w:r w:rsidRPr="00C148DF">
        <w:rPr>
          <w:rFonts w:ascii="Times New Roman" w:hAnsi="Times New Roman" w:cs="Times New Roman"/>
          <w:sz w:val="24"/>
          <w:szCs w:val="24"/>
          <w:lang w:eastAsia="cs-CZ"/>
        </w:rPr>
        <w:t xml:space="preserve"> pre obdobie rokov 2021 – 2035. Výstupom tejto simulácie je, okrem iného, aj informácia o nedodanej energii (ENS – </w:t>
      </w:r>
      <w:proofErr w:type="spellStart"/>
      <w:r w:rsidRPr="00C148DF">
        <w:rPr>
          <w:rFonts w:ascii="Times New Roman" w:hAnsi="Times New Roman" w:cs="Times New Roman"/>
          <w:sz w:val="24"/>
          <w:szCs w:val="24"/>
          <w:lang w:eastAsia="cs-CZ"/>
        </w:rPr>
        <w:t>Energy</w:t>
      </w:r>
      <w:proofErr w:type="spellEnd"/>
      <w:r w:rsidRPr="00C148DF">
        <w:rPr>
          <w:rFonts w:ascii="Times New Roman" w:hAnsi="Times New Roman" w:cs="Times New Roman"/>
          <w:sz w:val="24"/>
          <w:szCs w:val="24"/>
          <w:lang w:eastAsia="cs-CZ"/>
        </w:rPr>
        <w:t xml:space="preserve"> </w:t>
      </w:r>
      <w:proofErr w:type="spellStart"/>
      <w:r w:rsidRPr="00C148DF">
        <w:rPr>
          <w:rFonts w:ascii="Times New Roman" w:hAnsi="Times New Roman" w:cs="Times New Roman"/>
          <w:sz w:val="24"/>
          <w:szCs w:val="24"/>
          <w:lang w:eastAsia="cs-CZ"/>
        </w:rPr>
        <w:t>Not</w:t>
      </w:r>
      <w:proofErr w:type="spellEnd"/>
      <w:r w:rsidRPr="00C148DF">
        <w:rPr>
          <w:rFonts w:ascii="Times New Roman" w:hAnsi="Times New Roman" w:cs="Times New Roman"/>
          <w:sz w:val="24"/>
          <w:szCs w:val="24"/>
          <w:lang w:eastAsia="cs-CZ"/>
        </w:rPr>
        <w:t xml:space="preserve"> </w:t>
      </w:r>
      <w:proofErr w:type="spellStart"/>
      <w:r w:rsidRPr="00C148DF">
        <w:rPr>
          <w:rFonts w:ascii="Times New Roman" w:hAnsi="Times New Roman" w:cs="Times New Roman"/>
          <w:sz w:val="24"/>
          <w:szCs w:val="24"/>
          <w:lang w:eastAsia="cs-CZ"/>
        </w:rPr>
        <w:t>Supplied</w:t>
      </w:r>
      <w:proofErr w:type="spellEnd"/>
      <w:r w:rsidRPr="00C148DF">
        <w:rPr>
          <w:rFonts w:ascii="Times New Roman" w:hAnsi="Times New Roman" w:cs="Times New Roman"/>
          <w:sz w:val="24"/>
          <w:szCs w:val="24"/>
          <w:lang w:eastAsia="cs-CZ"/>
        </w:rPr>
        <w:t>) vyjadrenej v </w:t>
      </w:r>
      <w:proofErr w:type="spellStart"/>
      <w:r w:rsidRPr="00C148DF">
        <w:rPr>
          <w:rFonts w:ascii="Times New Roman" w:hAnsi="Times New Roman" w:cs="Times New Roman"/>
          <w:sz w:val="24"/>
          <w:szCs w:val="24"/>
          <w:lang w:eastAsia="cs-CZ"/>
        </w:rPr>
        <w:t>MWh</w:t>
      </w:r>
      <w:proofErr w:type="spellEnd"/>
      <w:r w:rsidRPr="00C148DF">
        <w:rPr>
          <w:rFonts w:ascii="Times New Roman" w:hAnsi="Times New Roman" w:cs="Times New Roman"/>
          <w:sz w:val="24"/>
          <w:szCs w:val="24"/>
          <w:lang w:eastAsia="cs-CZ"/>
        </w:rPr>
        <w:t xml:space="preserve">/rok a trvaní </w:t>
      </w:r>
      <w:proofErr w:type="spellStart"/>
      <w:r w:rsidRPr="00C148DF">
        <w:rPr>
          <w:rFonts w:ascii="Times New Roman" w:hAnsi="Times New Roman" w:cs="Times New Roman"/>
          <w:sz w:val="24"/>
          <w:szCs w:val="24"/>
          <w:lang w:eastAsia="cs-CZ"/>
        </w:rPr>
        <w:t>nedodávky</w:t>
      </w:r>
      <w:proofErr w:type="spellEnd"/>
      <w:r w:rsidRPr="00C148DF">
        <w:rPr>
          <w:rFonts w:ascii="Times New Roman" w:hAnsi="Times New Roman" w:cs="Times New Roman"/>
          <w:sz w:val="24"/>
          <w:szCs w:val="24"/>
          <w:lang w:eastAsia="cs-CZ"/>
        </w:rPr>
        <w:t xml:space="preserve"> energie (LOLE – </w:t>
      </w:r>
      <w:proofErr w:type="spellStart"/>
      <w:r w:rsidRPr="00C148DF">
        <w:rPr>
          <w:rFonts w:ascii="Times New Roman" w:hAnsi="Times New Roman" w:cs="Times New Roman"/>
          <w:sz w:val="24"/>
          <w:szCs w:val="24"/>
          <w:lang w:eastAsia="cs-CZ"/>
        </w:rPr>
        <w:t>Loss</w:t>
      </w:r>
      <w:proofErr w:type="spellEnd"/>
      <w:r w:rsidRPr="00C148DF">
        <w:rPr>
          <w:rFonts w:ascii="Times New Roman" w:hAnsi="Times New Roman" w:cs="Times New Roman"/>
          <w:sz w:val="24"/>
          <w:szCs w:val="24"/>
          <w:lang w:eastAsia="cs-CZ"/>
        </w:rPr>
        <w:t xml:space="preserve"> </w:t>
      </w:r>
      <w:proofErr w:type="spellStart"/>
      <w:r w:rsidRPr="00C148DF">
        <w:rPr>
          <w:rFonts w:ascii="Times New Roman" w:hAnsi="Times New Roman" w:cs="Times New Roman"/>
          <w:sz w:val="24"/>
          <w:szCs w:val="24"/>
          <w:lang w:eastAsia="cs-CZ"/>
        </w:rPr>
        <w:t>of</w:t>
      </w:r>
      <w:proofErr w:type="spellEnd"/>
      <w:r w:rsidRPr="00C148DF">
        <w:rPr>
          <w:rFonts w:ascii="Times New Roman" w:hAnsi="Times New Roman" w:cs="Times New Roman"/>
          <w:sz w:val="24"/>
          <w:szCs w:val="24"/>
          <w:lang w:eastAsia="cs-CZ"/>
        </w:rPr>
        <w:t xml:space="preserve"> </w:t>
      </w:r>
      <w:proofErr w:type="spellStart"/>
      <w:r w:rsidRPr="00C148DF">
        <w:rPr>
          <w:rFonts w:ascii="Times New Roman" w:hAnsi="Times New Roman" w:cs="Times New Roman"/>
          <w:sz w:val="24"/>
          <w:szCs w:val="24"/>
          <w:lang w:eastAsia="cs-CZ"/>
        </w:rPr>
        <w:t>Load</w:t>
      </w:r>
      <w:proofErr w:type="spellEnd"/>
      <w:r w:rsidRPr="00C148DF">
        <w:rPr>
          <w:rFonts w:ascii="Times New Roman" w:hAnsi="Times New Roman" w:cs="Times New Roman"/>
          <w:sz w:val="24"/>
          <w:szCs w:val="24"/>
          <w:lang w:eastAsia="cs-CZ"/>
        </w:rPr>
        <w:t xml:space="preserve"> </w:t>
      </w:r>
      <w:proofErr w:type="spellStart"/>
      <w:r w:rsidRPr="00C148DF">
        <w:rPr>
          <w:rFonts w:ascii="Times New Roman" w:hAnsi="Times New Roman" w:cs="Times New Roman"/>
          <w:sz w:val="24"/>
          <w:szCs w:val="24"/>
          <w:lang w:eastAsia="cs-CZ"/>
        </w:rPr>
        <w:t>Expectation</w:t>
      </w:r>
      <w:proofErr w:type="spellEnd"/>
      <w:r w:rsidRPr="00C148DF">
        <w:rPr>
          <w:rFonts w:ascii="Times New Roman" w:hAnsi="Times New Roman" w:cs="Times New Roman"/>
          <w:sz w:val="24"/>
          <w:szCs w:val="24"/>
          <w:lang w:eastAsia="cs-CZ"/>
        </w:rPr>
        <w:t>) v h/rok v prípade, kedy v ES nie je možné zabezpečiť dostatok výkonu (t.j. pokryť predpokladané zaťaženie) prostredníctvom dostupných výrobných jednotiek alebo importom elektriny z okolitých ES (pre zaistenie bezpečnej a spoľahlivej prevádzky ES). Nenulové hodnoty indikujú vo výsledkoch problém so zdrojovou dostatočnosťou ES.</w:t>
      </w:r>
    </w:p>
    <w:p w14:paraId="53CAAE71" w14:textId="77777777" w:rsidR="00B27340" w:rsidRPr="00C148DF" w:rsidRDefault="00B27340" w:rsidP="00003436">
      <w:pPr>
        <w:jc w:val="both"/>
        <w:rPr>
          <w:rFonts w:ascii="Times New Roman" w:eastAsia="Times New Roman" w:hAnsi="Times New Roman" w:cs="Times New Roman"/>
          <w:iCs/>
          <w:sz w:val="24"/>
          <w:szCs w:val="24"/>
          <w:lang w:eastAsia="cs-CZ"/>
        </w:rPr>
      </w:pPr>
      <w:r w:rsidRPr="00C148DF">
        <w:rPr>
          <w:rFonts w:ascii="Times New Roman" w:eastAsia="Times New Roman" w:hAnsi="Times New Roman" w:cs="Times New Roman"/>
          <w:iCs/>
          <w:sz w:val="24"/>
          <w:szCs w:val="24"/>
          <w:lang w:eastAsia="cs-CZ"/>
        </w:rPr>
        <w:t xml:space="preserve">Pri uvažovaní vyššie spomínaných predpokladov očakávaného rozvoja ES SR (zdrojového mixu a prenosovej infraštruktúry) bude v sústave v každej hodine do roku 2035 dostatočný výkon (výroba elektriny v ES SR alebo import elektriny z okolitých ES) pre pokrývanie predpokladaného zaťaženia. Z výsledkov </w:t>
      </w:r>
      <w:proofErr w:type="spellStart"/>
      <w:r w:rsidRPr="00C148DF">
        <w:rPr>
          <w:rFonts w:ascii="Times New Roman" w:eastAsia="Times New Roman" w:hAnsi="Times New Roman" w:cs="Times New Roman"/>
          <w:iCs/>
          <w:sz w:val="24"/>
          <w:szCs w:val="24"/>
          <w:lang w:eastAsia="cs-CZ"/>
        </w:rPr>
        <w:t>market-simulácie</w:t>
      </w:r>
      <w:proofErr w:type="spellEnd"/>
      <w:r w:rsidRPr="00C148DF">
        <w:rPr>
          <w:rFonts w:ascii="Times New Roman" w:eastAsia="Times New Roman" w:hAnsi="Times New Roman" w:cs="Times New Roman"/>
          <w:iCs/>
          <w:sz w:val="24"/>
          <w:szCs w:val="24"/>
          <w:lang w:eastAsia="cs-CZ"/>
        </w:rPr>
        <w:t xml:space="preserve"> teda vyplýva, že sa v sledovanom období 2021-2035 nevyskytuje stav, kedy by bola evidovaná </w:t>
      </w:r>
      <w:proofErr w:type="spellStart"/>
      <w:r w:rsidRPr="00C148DF">
        <w:rPr>
          <w:rFonts w:ascii="Times New Roman" w:eastAsia="Times New Roman" w:hAnsi="Times New Roman" w:cs="Times New Roman"/>
          <w:iCs/>
          <w:sz w:val="24"/>
          <w:szCs w:val="24"/>
          <w:lang w:eastAsia="cs-CZ"/>
        </w:rPr>
        <w:t>nedodávka</w:t>
      </w:r>
      <w:proofErr w:type="spellEnd"/>
      <w:r w:rsidRPr="00C148DF">
        <w:rPr>
          <w:rFonts w:ascii="Times New Roman" w:eastAsia="Times New Roman" w:hAnsi="Times New Roman" w:cs="Times New Roman"/>
          <w:iCs/>
          <w:sz w:val="24"/>
          <w:szCs w:val="24"/>
          <w:lang w:eastAsia="cs-CZ"/>
        </w:rPr>
        <w:t xml:space="preserve"> elektriny. V prípade nedostatočného výkonu výrobných zariadení na území SR pre pokrytie zaťaženia, má ES SR dostatočnú importnú schopnosť pokryť tento rozdiel importom. </w:t>
      </w:r>
    </w:p>
    <w:p w14:paraId="21930530" w14:textId="77777777" w:rsidR="00B27340" w:rsidRPr="00C148DF" w:rsidRDefault="00B27340" w:rsidP="00003436">
      <w:pPr>
        <w:spacing w:before="120"/>
        <w:jc w:val="both"/>
        <w:rPr>
          <w:rFonts w:ascii="Times New Roman" w:eastAsia="Times New Roman" w:hAnsi="Times New Roman" w:cs="Times New Roman"/>
          <w:iCs/>
          <w:sz w:val="24"/>
          <w:szCs w:val="24"/>
          <w:lang w:eastAsia="cs-CZ"/>
        </w:rPr>
      </w:pPr>
      <w:r w:rsidRPr="00C148DF">
        <w:rPr>
          <w:rFonts w:ascii="Times New Roman" w:eastAsia="Times New Roman" w:hAnsi="Times New Roman" w:cs="Times New Roman"/>
          <w:iCs/>
          <w:sz w:val="24"/>
          <w:szCs w:val="24"/>
          <w:lang w:eastAsia="cs-CZ"/>
        </w:rPr>
        <w:t xml:space="preserve">V prípade nedostupnosti importu (nedostupná cezhraničná infraštruktúra alebo nedostatok výkonu v okolitých ES) pre pokrytie zaťaženia (zabezpečenia dodávok elektriny v SR) bola by </w:t>
      </w:r>
      <w:proofErr w:type="spellStart"/>
      <w:r w:rsidRPr="00C148DF">
        <w:rPr>
          <w:rFonts w:ascii="Times New Roman" w:eastAsia="Times New Roman" w:hAnsi="Times New Roman" w:cs="Times New Roman"/>
          <w:iCs/>
          <w:sz w:val="24"/>
          <w:szCs w:val="24"/>
          <w:lang w:eastAsia="cs-CZ"/>
        </w:rPr>
        <w:t>nedodávka</w:t>
      </w:r>
      <w:proofErr w:type="spellEnd"/>
      <w:r w:rsidRPr="00C148DF">
        <w:rPr>
          <w:rFonts w:ascii="Times New Roman" w:eastAsia="Times New Roman" w:hAnsi="Times New Roman" w:cs="Times New Roman"/>
          <w:iCs/>
          <w:sz w:val="24"/>
          <w:szCs w:val="24"/>
          <w:lang w:eastAsia="cs-CZ"/>
        </w:rPr>
        <w:t xml:space="preserve"> elektriny v roku 2035 na úrovni 14 </w:t>
      </w:r>
      <w:proofErr w:type="spellStart"/>
      <w:r w:rsidRPr="00C148DF">
        <w:rPr>
          <w:rFonts w:ascii="Times New Roman" w:eastAsia="Times New Roman" w:hAnsi="Times New Roman" w:cs="Times New Roman"/>
          <w:iCs/>
          <w:sz w:val="24"/>
          <w:szCs w:val="24"/>
          <w:lang w:eastAsia="cs-CZ"/>
        </w:rPr>
        <w:t>GWh</w:t>
      </w:r>
      <w:proofErr w:type="spellEnd"/>
      <w:r w:rsidRPr="00C148DF">
        <w:rPr>
          <w:rFonts w:ascii="Times New Roman" w:eastAsia="Times New Roman" w:hAnsi="Times New Roman" w:cs="Times New Roman"/>
          <w:iCs/>
          <w:sz w:val="24"/>
          <w:szCs w:val="24"/>
          <w:lang w:eastAsia="cs-CZ"/>
        </w:rPr>
        <w:t xml:space="preserve"> a celkové trvanie 39 hodín, čo predstavuje 0,4 % z celkového časového fondu roka. </w:t>
      </w:r>
      <w:proofErr w:type="spellStart"/>
      <w:r w:rsidRPr="00C148DF">
        <w:rPr>
          <w:rFonts w:ascii="Times New Roman" w:eastAsia="Times New Roman" w:hAnsi="Times New Roman" w:cs="Times New Roman"/>
          <w:iCs/>
          <w:sz w:val="24"/>
          <w:szCs w:val="24"/>
          <w:lang w:eastAsia="cs-CZ"/>
        </w:rPr>
        <w:t>Nedodávka</w:t>
      </w:r>
      <w:proofErr w:type="spellEnd"/>
      <w:r w:rsidRPr="00C148DF">
        <w:rPr>
          <w:rFonts w:ascii="Times New Roman" w:eastAsia="Times New Roman" w:hAnsi="Times New Roman" w:cs="Times New Roman"/>
          <w:iCs/>
          <w:sz w:val="24"/>
          <w:szCs w:val="24"/>
          <w:lang w:eastAsia="cs-CZ"/>
        </w:rPr>
        <w:t xml:space="preserve"> sa vyskytuje hlavne v čase, kedy dochádza súčasne </w:t>
      </w:r>
      <w:r w:rsidRPr="00C148DF">
        <w:rPr>
          <w:rFonts w:ascii="Times New Roman" w:eastAsia="Times New Roman" w:hAnsi="Times New Roman" w:cs="Times New Roman"/>
          <w:iCs/>
          <w:sz w:val="24"/>
          <w:szCs w:val="24"/>
          <w:lang w:eastAsia="cs-CZ"/>
        </w:rPr>
        <w:lastRenderedPageBreak/>
        <w:t>k plánovanej údržbe jedného výrobného bloku a výpadku iného/-</w:t>
      </w:r>
      <w:proofErr w:type="spellStart"/>
      <w:r w:rsidRPr="00C148DF">
        <w:rPr>
          <w:rFonts w:ascii="Times New Roman" w:eastAsia="Times New Roman" w:hAnsi="Times New Roman" w:cs="Times New Roman"/>
          <w:iCs/>
          <w:sz w:val="24"/>
          <w:szCs w:val="24"/>
          <w:lang w:eastAsia="cs-CZ"/>
        </w:rPr>
        <w:t>ých</w:t>
      </w:r>
      <w:proofErr w:type="spellEnd"/>
      <w:r w:rsidRPr="00C148DF">
        <w:rPr>
          <w:rFonts w:ascii="Times New Roman" w:eastAsia="Times New Roman" w:hAnsi="Times New Roman" w:cs="Times New Roman"/>
          <w:iCs/>
          <w:sz w:val="24"/>
          <w:szCs w:val="24"/>
          <w:lang w:eastAsia="cs-CZ"/>
        </w:rPr>
        <w:t xml:space="preserve"> blokov. Ak bude v uvedenom období zabezpečený import elektriny vo výške nedodanej elektriny, tak ENS aj LOLE bude nulové. Vzhľadom na výšku nevyhnutného importu a importné kapacity PS SR to nepredstavuje v uvedenom horizonte riziko.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072"/>
      </w:tblGrid>
      <w:tr w:rsidR="00B27340" w:rsidRPr="00C148DF" w14:paraId="07A3C0B5" w14:textId="77777777" w:rsidTr="00B27340">
        <w:trPr>
          <w:trHeight w:val="4829"/>
        </w:trPr>
        <w:tc>
          <w:tcPr>
            <w:tcW w:w="9072" w:type="dxa"/>
            <w:vAlign w:val="center"/>
          </w:tcPr>
          <w:p w14:paraId="203AB7A4"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iCs/>
                <w:noProof/>
                <w:sz w:val="24"/>
                <w:szCs w:val="24"/>
                <w:lang w:eastAsia="sk-SK"/>
              </w:rPr>
              <w:drawing>
                <wp:inline distT="0" distB="0" distL="0" distR="0" wp14:anchorId="5978505C" wp14:editId="77AFCDA2">
                  <wp:extent cx="5341813" cy="3496043"/>
                  <wp:effectExtent l="0" t="0" r="0" b="9525"/>
                  <wp:docPr id="228" name="Obrázo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61277" cy="3508781"/>
                          </a:xfrm>
                          <a:prstGeom prst="rect">
                            <a:avLst/>
                          </a:prstGeom>
                          <a:noFill/>
                        </pic:spPr>
                      </pic:pic>
                    </a:graphicData>
                  </a:graphic>
                </wp:inline>
              </w:drawing>
            </w:r>
          </w:p>
        </w:tc>
      </w:tr>
      <w:tr w:rsidR="00B27340" w:rsidRPr="00C148DF" w14:paraId="092ACDD6" w14:textId="77777777" w:rsidTr="00B27340">
        <w:trPr>
          <w:trHeight w:val="295"/>
        </w:trPr>
        <w:tc>
          <w:tcPr>
            <w:tcW w:w="9072" w:type="dxa"/>
          </w:tcPr>
          <w:p w14:paraId="3024A716" w14:textId="77777777" w:rsidR="00B27340" w:rsidRPr="00C148DF" w:rsidRDefault="00B27340" w:rsidP="00B27340">
            <w:pPr>
              <w:pStyle w:val="Zkladntext3"/>
              <w:spacing w:line="259" w:lineRule="auto"/>
              <w:jc w:val="center"/>
              <w:rPr>
                <w:rFonts w:ascii="Times New Roman" w:hAnsi="Times New Roman" w:cs="Times New Roman"/>
                <w:b/>
                <w:iCs/>
                <w:sz w:val="24"/>
                <w:szCs w:val="24"/>
              </w:rPr>
            </w:pPr>
            <w:r w:rsidRPr="00C148DF">
              <w:rPr>
                <w:rFonts w:ascii="Times New Roman" w:hAnsi="Times New Roman" w:cs="Times New Roman"/>
                <w:b/>
                <w:iCs/>
                <w:sz w:val="24"/>
                <w:szCs w:val="24"/>
              </w:rPr>
              <w:t xml:space="preserve">Obr. 3.4  </w:t>
            </w:r>
            <w:r w:rsidRPr="00C148DF">
              <w:rPr>
                <w:rFonts w:ascii="Times New Roman" w:hAnsi="Times New Roman" w:cs="Times New Roman"/>
                <w:iCs/>
                <w:sz w:val="24"/>
                <w:szCs w:val="24"/>
              </w:rPr>
              <w:t>Zdrojová dostatočnosť ES SR v prípade nedostupnosti importu 2021-2035</w:t>
            </w:r>
          </w:p>
        </w:tc>
      </w:tr>
    </w:tbl>
    <w:p w14:paraId="4A275239" w14:textId="77777777" w:rsidR="00B27340" w:rsidRPr="00C148DF" w:rsidRDefault="00B27340" w:rsidP="00003436">
      <w:pPr>
        <w:spacing w:before="120"/>
        <w:jc w:val="both"/>
        <w:rPr>
          <w:rFonts w:ascii="Times New Roman" w:eastAsia="Times New Roman" w:hAnsi="Times New Roman" w:cs="Times New Roman"/>
          <w:iCs/>
          <w:sz w:val="24"/>
          <w:szCs w:val="24"/>
          <w:lang w:eastAsia="cs-CZ"/>
        </w:rPr>
      </w:pPr>
      <w:r w:rsidRPr="00C148DF">
        <w:rPr>
          <w:rFonts w:ascii="Times New Roman" w:eastAsia="Times New Roman" w:hAnsi="Times New Roman" w:cs="Times New Roman"/>
          <w:iCs/>
          <w:sz w:val="24"/>
          <w:szCs w:val="24"/>
          <w:lang w:eastAsia="cs-CZ"/>
        </w:rPr>
        <w:t>Na základe oznámenia Komisie o posilnení energetických sietí, dosiahla SR v roku 2019 úroveň prepojenosti prenosovej sústavy 51 % a v roku 2020 po uvedení nových SK-HU vedení do prevádzky dosiahne SR úroveň prepojenia takmer 67 %.</w:t>
      </w:r>
      <w:r w:rsidRPr="00C148DF">
        <w:rPr>
          <w:rFonts w:ascii="Times New Roman" w:hAnsi="Times New Roman" w:cs="Times New Roman"/>
          <w:sz w:val="24"/>
          <w:szCs w:val="24"/>
        </w:rPr>
        <w:t xml:space="preserve"> </w:t>
      </w:r>
      <w:r w:rsidRPr="00C148DF">
        <w:rPr>
          <w:rFonts w:ascii="Times New Roman" w:eastAsia="Times New Roman" w:hAnsi="Times New Roman" w:cs="Times New Roman"/>
          <w:iCs/>
          <w:sz w:val="24"/>
          <w:szCs w:val="24"/>
          <w:lang w:eastAsia="cs-CZ"/>
        </w:rPr>
        <w:t>SR tak plní cieľ 10 % úrovne prepojenosti prenosových sústav členských štátov Európskej únie do roku 2020 prijatých Radou EÚ v roku 2002 a tiež cieľ 15 % úrovne prepojenosti do roku 2030 stanovený Radou EÚ v roku 2014 ako podiel čistej importnej prenosovej kapacity k celkovému inštalovanému výkonu zariadení na výrobu elektriny členského štátu.</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072"/>
      </w:tblGrid>
      <w:tr w:rsidR="00B27340" w:rsidRPr="00C148DF" w14:paraId="0ECC2FA7" w14:textId="77777777" w:rsidTr="00B27340">
        <w:trPr>
          <w:trHeight w:val="4829"/>
        </w:trPr>
        <w:tc>
          <w:tcPr>
            <w:tcW w:w="9072" w:type="dxa"/>
            <w:vAlign w:val="center"/>
          </w:tcPr>
          <w:p w14:paraId="618A397C" w14:textId="77777777" w:rsidR="00B27340" w:rsidRPr="00C148DF" w:rsidRDefault="00B27340" w:rsidP="00B27340">
            <w:pPr>
              <w:pStyle w:val="Zkladntext3"/>
              <w:spacing w:line="259" w:lineRule="auto"/>
              <w:jc w:val="center"/>
              <w:rPr>
                <w:rFonts w:ascii="Times New Roman" w:hAnsi="Times New Roman" w:cs="Times New Roman"/>
                <w:i/>
                <w:iCs/>
                <w:sz w:val="24"/>
                <w:szCs w:val="24"/>
              </w:rPr>
            </w:pPr>
            <w:r w:rsidRPr="00C148DF">
              <w:rPr>
                <w:rFonts w:ascii="Times New Roman" w:hAnsi="Times New Roman" w:cs="Times New Roman"/>
                <w:i/>
                <w:iCs/>
                <w:noProof/>
                <w:sz w:val="24"/>
                <w:szCs w:val="24"/>
                <w:lang w:eastAsia="sk-SK"/>
              </w:rPr>
              <w:lastRenderedPageBreak/>
              <w:drawing>
                <wp:inline distT="0" distB="0" distL="0" distR="0" wp14:anchorId="2E70B57E" wp14:editId="34EF5CFE">
                  <wp:extent cx="5129162" cy="3342088"/>
                  <wp:effectExtent l="0" t="0" r="0" b="0"/>
                  <wp:docPr id="229" name="Obrázo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44383" cy="3352006"/>
                          </a:xfrm>
                          <a:prstGeom prst="rect">
                            <a:avLst/>
                          </a:prstGeom>
                          <a:noFill/>
                        </pic:spPr>
                      </pic:pic>
                    </a:graphicData>
                  </a:graphic>
                </wp:inline>
              </w:drawing>
            </w:r>
          </w:p>
        </w:tc>
      </w:tr>
      <w:tr w:rsidR="00B27340" w:rsidRPr="00C148DF" w14:paraId="012741F1" w14:textId="77777777" w:rsidTr="00B27340">
        <w:trPr>
          <w:trHeight w:val="295"/>
        </w:trPr>
        <w:tc>
          <w:tcPr>
            <w:tcW w:w="9072" w:type="dxa"/>
          </w:tcPr>
          <w:p w14:paraId="4A4CD8D5" w14:textId="77777777" w:rsidR="00B27340" w:rsidRPr="00C148DF" w:rsidRDefault="00B27340" w:rsidP="00B27340">
            <w:pPr>
              <w:pStyle w:val="Zkladntext3"/>
              <w:spacing w:line="259" w:lineRule="auto"/>
              <w:jc w:val="center"/>
              <w:rPr>
                <w:rFonts w:ascii="Times New Roman" w:hAnsi="Times New Roman" w:cs="Times New Roman"/>
                <w:b/>
                <w:iCs/>
                <w:sz w:val="24"/>
                <w:szCs w:val="24"/>
              </w:rPr>
            </w:pPr>
            <w:r w:rsidRPr="00C148DF">
              <w:rPr>
                <w:rFonts w:ascii="Times New Roman" w:hAnsi="Times New Roman" w:cs="Times New Roman"/>
                <w:b/>
                <w:iCs/>
                <w:sz w:val="24"/>
                <w:szCs w:val="24"/>
              </w:rPr>
              <w:t xml:space="preserve">Obr. 3.5  </w:t>
            </w:r>
            <w:r w:rsidRPr="00C148DF">
              <w:rPr>
                <w:rFonts w:ascii="Times New Roman" w:hAnsi="Times New Roman" w:cs="Times New Roman"/>
                <w:iCs/>
                <w:sz w:val="24"/>
                <w:szCs w:val="24"/>
              </w:rPr>
              <w:t>Predpokladaný vývoj prepojenosti SR do roku 2035</w:t>
            </w:r>
          </w:p>
        </w:tc>
      </w:tr>
    </w:tbl>
    <w:p w14:paraId="5A1976DE" w14:textId="77777777" w:rsidR="00B27340" w:rsidRPr="00C148DF" w:rsidRDefault="00B27340" w:rsidP="00003436">
      <w:pPr>
        <w:spacing w:before="120"/>
        <w:jc w:val="both"/>
        <w:rPr>
          <w:rFonts w:ascii="Times New Roman" w:eastAsia="Times New Roman" w:hAnsi="Times New Roman" w:cs="Times New Roman"/>
          <w:iCs/>
          <w:sz w:val="24"/>
          <w:szCs w:val="24"/>
          <w:lang w:eastAsia="cs-CZ"/>
        </w:rPr>
      </w:pPr>
      <w:r w:rsidRPr="00C148DF">
        <w:rPr>
          <w:rFonts w:ascii="Times New Roman" w:eastAsia="Times New Roman" w:hAnsi="Times New Roman" w:cs="Times New Roman"/>
          <w:iCs/>
          <w:sz w:val="24"/>
          <w:szCs w:val="24"/>
          <w:lang w:eastAsia="cs-CZ"/>
        </w:rPr>
        <w:t>SR plní aj indikatívne ukazovatele cieľa prepojenosti prenosových sústav členských štátov Európskej únie do roku 2030 podľa správy Komisie z novembra 2017, podľa ktorých by súčet termálnych kapacít (maximálna letná dovolená výkonová zaťažiteľnosť) cezhraničných prepojení členského štátu, mala byť dostatočná pre import 30 % maximálneho zaťaženia sústavy, a tiež dostatočná pre export 30 % inštalovaného výkonu OZE a priemerný ročný rozdiel marginálnej ceny obchodných zón by nemal byť väčší ako 2 €/</w:t>
      </w:r>
      <w:proofErr w:type="spellStart"/>
      <w:r w:rsidRPr="00C148DF">
        <w:rPr>
          <w:rFonts w:ascii="Times New Roman" w:eastAsia="Times New Roman" w:hAnsi="Times New Roman" w:cs="Times New Roman"/>
          <w:iCs/>
          <w:sz w:val="24"/>
          <w:szCs w:val="24"/>
          <w:lang w:eastAsia="cs-CZ"/>
        </w:rPr>
        <w:t>MWh</w:t>
      </w:r>
      <w:proofErr w:type="spellEnd"/>
      <w:r w:rsidRPr="00C148DF">
        <w:rPr>
          <w:rFonts w:ascii="Times New Roman" w:eastAsia="Times New Roman" w:hAnsi="Times New Roman" w:cs="Times New Roman"/>
          <w:iCs/>
          <w:sz w:val="24"/>
          <w:szCs w:val="24"/>
          <w:lang w:eastAsia="cs-CZ"/>
        </w:rPr>
        <w:t>.</w:t>
      </w:r>
    </w:p>
    <w:p w14:paraId="1DF204F5" w14:textId="77777777" w:rsidR="00B27340" w:rsidRPr="00C148DF" w:rsidRDefault="00B27340" w:rsidP="00003436">
      <w:pPr>
        <w:spacing w:before="120"/>
        <w:jc w:val="both"/>
        <w:rPr>
          <w:rFonts w:ascii="Times New Roman" w:eastAsia="Times New Roman" w:hAnsi="Times New Roman" w:cs="Times New Roman"/>
          <w:iCs/>
          <w:sz w:val="24"/>
          <w:szCs w:val="24"/>
          <w:lang w:eastAsia="cs-CZ"/>
        </w:rPr>
      </w:pPr>
      <w:r w:rsidRPr="00C148DF">
        <w:rPr>
          <w:rFonts w:ascii="Times New Roman" w:eastAsia="Times New Roman" w:hAnsi="Times New Roman" w:cs="Times New Roman"/>
          <w:iCs/>
          <w:sz w:val="24"/>
          <w:szCs w:val="24"/>
          <w:lang w:eastAsia="cs-CZ"/>
        </w:rPr>
        <w:t xml:space="preserve">V prvých dvoch kritériách dosahuje SR v období do roku 2035 úroveň prepojenosti viac ako 60 % pre očakávaný scenár, t. j. termálna importná schopnosť na úrovni </w:t>
      </w:r>
      <w:r w:rsidRPr="00C148DF">
        <w:rPr>
          <w:rFonts w:ascii="Times New Roman" w:eastAsia="Times New Roman" w:hAnsi="Times New Roman" w:cs="Times New Roman"/>
          <w:sz w:val="24"/>
          <w:szCs w:val="24"/>
          <w:lang w:eastAsia="cs-CZ"/>
        </w:rPr>
        <w:t>230 – 270 %</w:t>
      </w:r>
      <w:r w:rsidRPr="00C148DF">
        <w:rPr>
          <w:rFonts w:ascii="Times New Roman" w:eastAsia="Times New Roman" w:hAnsi="Times New Roman" w:cs="Times New Roman"/>
          <w:iCs/>
          <w:sz w:val="24"/>
          <w:szCs w:val="24"/>
          <w:lang w:eastAsia="cs-CZ"/>
        </w:rPr>
        <w:t xml:space="preserve"> predpokladaného maximálneho zaťaženia sústavy a termálna exportná schopnosť na úrovni cca 240 – 350 % predpokladaného inštalovaného výkonu OZE. Rozdiel priemernej ročnej marginálnej ceny je oproti susedným obchodným zónam okrem ČR väčší ako 2€/MWh. Priemerná ročná marginálna cena v obchodných oblastiach predstavuje výšku variabilných nákladov </w:t>
      </w:r>
      <w:proofErr w:type="spellStart"/>
      <w:r w:rsidRPr="00C148DF">
        <w:rPr>
          <w:rFonts w:ascii="Times New Roman" w:eastAsia="Times New Roman" w:hAnsi="Times New Roman" w:cs="Times New Roman"/>
          <w:iCs/>
          <w:sz w:val="24"/>
          <w:szCs w:val="24"/>
          <w:lang w:eastAsia="cs-CZ"/>
        </w:rPr>
        <w:t>závernej</w:t>
      </w:r>
      <w:proofErr w:type="spellEnd"/>
      <w:r w:rsidRPr="00C148DF">
        <w:rPr>
          <w:rFonts w:ascii="Times New Roman" w:eastAsia="Times New Roman" w:hAnsi="Times New Roman" w:cs="Times New Roman"/>
          <w:iCs/>
          <w:sz w:val="24"/>
          <w:szCs w:val="24"/>
          <w:lang w:eastAsia="cs-CZ"/>
        </w:rPr>
        <w:t xml:space="preserve"> elektrárne (nasadená elektráreň do výroby s najvyššími variabilnými nákladmi na 1MWh), teda je závislá od variabilných nákladov zdrojového mixu členského štátu. Rozdiel cien v susedných oblastiach indikuje mieru deformity trhu obmedzením prenosu. V prípade, že na všetkých profiloch bude dostatočná kapacita, rozdiel priemernej ročnej marginálnej ceny by nemal byť väčší ako 2 €/</w:t>
      </w:r>
      <w:proofErr w:type="spellStart"/>
      <w:r w:rsidRPr="00C148DF">
        <w:rPr>
          <w:rFonts w:ascii="Times New Roman" w:eastAsia="Times New Roman" w:hAnsi="Times New Roman" w:cs="Times New Roman"/>
          <w:iCs/>
          <w:sz w:val="24"/>
          <w:szCs w:val="24"/>
          <w:lang w:eastAsia="cs-CZ"/>
        </w:rPr>
        <w:t>MWh</w:t>
      </w:r>
      <w:proofErr w:type="spellEnd"/>
      <w:r w:rsidRPr="00C148DF">
        <w:rPr>
          <w:rFonts w:ascii="Times New Roman" w:eastAsia="Times New Roman" w:hAnsi="Times New Roman" w:cs="Times New Roman"/>
          <w:iCs/>
          <w:sz w:val="24"/>
          <w:szCs w:val="24"/>
          <w:lang w:eastAsia="cs-CZ"/>
        </w:rPr>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072"/>
      </w:tblGrid>
      <w:tr w:rsidR="00B27340" w:rsidRPr="00C148DF" w14:paraId="014B9DE1" w14:textId="77777777" w:rsidTr="00B27340">
        <w:trPr>
          <w:trHeight w:val="4829"/>
        </w:trPr>
        <w:tc>
          <w:tcPr>
            <w:tcW w:w="9072" w:type="dxa"/>
            <w:vAlign w:val="center"/>
          </w:tcPr>
          <w:p w14:paraId="68B4F5EE"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iCs/>
                <w:noProof/>
                <w:sz w:val="24"/>
                <w:szCs w:val="24"/>
                <w:lang w:eastAsia="sk-SK"/>
              </w:rPr>
              <w:lastRenderedPageBreak/>
              <w:drawing>
                <wp:inline distT="0" distB="0" distL="0" distR="0" wp14:anchorId="5DCF5B48" wp14:editId="76EDBF48">
                  <wp:extent cx="5345181" cy="3483987"/>
                  <wp:effectExtent l="0" t="0" r="8255" b="2540"/>
                  <wp:docPr id="231" name="Obrázo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55692" cy="3490838"/>
                          </a:xfrm>
                          <a:prstGeom prst="rect">
                            <a:avLst/>
                          </a:prstGeom>
                          <a:noFill/>
                        </pic:spPr>
                      </pic:pic>
                    </a:graphicData>
                  </a:graphic>
                </wp:inline>
              </w:drawing>
            </w:r>
          </w:p>
        </w:tc>
      </w:tr>
      <w:tr w:rsidR="00B27340" w:rsidRPr="00C148DF" w14:paraId="5B34BB78" w14:textId="77777777" w:rsidTr="00B27340">
        <w:trPr>
          <w:trHeight w:val="295"/>
        </w:trPr>
        <w:tc>
          <w:tcPr>
            <w:tcW w:w="9072" w:type="dxa"/>
          </w:tcPr>
          <w:p w14:paraId="4CF4823A"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b/>
                <w:iCs/>
                <w:sz w:val="24"/>
                <w:szCs w:val="24"/>
              </w:rPr>
              <w:t>Obr. 3.6</w:t>
            </w:r>
            <w:r w:rsidRPr="00C148DF">
              <w:rPr>
                <w:rFonts w:ascii="Times New Roman" w:hAnsi="Times New Roman" w:cs="Times New Roman"/>
                <w:iCs/>
                <w:sz w:val="24"/>
                <w:szCs w:val="24"/>
              </w:rPr>
              <w:t xml:space="preserve">  Predpokladaný vývoj indikatívnych parametrov prepojenosti SR do roku 2035</w:t>
            </w:r>
          </w:p>
        </w:tc>
      </w:tr>
    </w:tbl>
    <w:p w14:paraId="1108CC14" w14:textId="51CED96A" w:rsidR="00B27340" w:rsidRPr="00C148DF" w:rsidRDefault="00B27340" w:rsidP="00B27340">
      <w:pPr>
        <w:spacing w:before="120"/>
        <w:rPr>
          <w:rFonts w:ascii="Times New Roman" w:eastAsia="Times New Roman" w:hAnsi="Times New Roman" w:cs="Times New Roman"/>
          <w:iCs/>
          <w:sz w:val="24"/>
          <w:szCs w:val="24"/>
          <w:lang w:eastAsia="cs-CZ"/>
        </w:rPr>
      </w:pPr>
      <w:r w:rsidRPr="00C148DF">
        <w:rPr>
          <w:rFonts w:ascii="Times New Roman" w:eastAsia="Times New Roman" w:hAnsi="Times New Roman" w:cs="Times New Roman"/>
          <w:iCs/>
          <w:sz w:val="24"/>
          <w:szCs w:val="24"/>
          <w:lang w:eastAsia="cs-CZ"/>
        </w:rPr>
        <w:t>Z uvedeného je zrejmé, že 15 % cieľ do roku 2030, ako aj indikatívne parametre budú splnené. Cenový rozdiel medzi obchodnými zónami bude závisieť od vývoja situácie na trhu s elektrinou v sledovanom období do roku 2035.</w:t>
      </w:r>
    </w:p>
    <w:p w14:paraId="589BEBDF" w14:textId="77777777" w:rsidR="00B27340" w:rsidRPr="00C148DF" w:rsidRDefault="00B27340" w:rsidP="005F0557">
      <w:pPr>
        <w:pStyle w:val="Nadpis1"/>
        <w:keepLines/>
        <w:numPr>
          <w:ilvl w:val="0"/>
          <w:numId w:val="12"/>
        </w:numPr>
        <w:spacing w:before="240" w:after="120" w:line="259" w:lineRule="auto"/>
        <w:ind w:left="431" w:hanging="431"/>
        <w:jc w:val="both"/>
        <w:rPr>
          <w:sz w:val="24"/>
          <w:szCs w:val="24"/>
        </w:rPr>
      </w:pPr>
      <w:bookmarkStart w:id="16" w:name="_Toc46594171"/>
      <w:r w:rsidRPr="00C148DF">
        <w:rPr>
          <w:sz w:val="24"/>
          <w:szCs w:val="24"/>
        </w:rPr>
        <w:t>Investičné zámery prevádzkovateľa prenosovej sústavy na nasledujúcich 10 rokov</w:t>
      </w:r>
      <w:bookmarkEnd w:id="16"/>
    </w:p>
    <w:p w14:paraId="70B4BE73"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 xml:space="preserve">Rozvoj PS SR je po rozhodnutí SEPS o postupnom útlme prevádzky 220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sústavy z pohľadu prenosovej infraštruktúry (vedenia a transformácia PS/DS) aj naďalej zameraný na rozvoj 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sústavy. Riadený útlm 220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PS je dlhodobý, technologicky, časovo, organizačne a finančne náročný zámer, pri ktorom je potrebné opravami zariadení PS 220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v nevyhnutnom rozsahu, údržbovými činnosťami, prípadne čiastočnými rekonštrukciami zabezpečiť prevádzkyschopnosť niektorých zariadení 220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sústavy približne do obdobia okolo roku 2025 (alebo tesne po ňom), kedy už budú – až na niektoré výnimky – na hranici svojej technickej a morálnej životnosti, alebo za ňou. Mnohé z plánovaných investícií PPS na nasledujúce obdobie sa týkajú práve náhrady 220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PS.</w:t>
      </w:r>
    </w:p>
    <w:p w14:paraId="60FB25F4" w14:textId="77777777" w:rsidR="00B27340" w:rsidRPr="00C148DF" w:rsidRDefault="00B27340" w:rsidP="00003436">
      <w:pPr>
        <w:jc w:val="both"/>
        <w:rPr>
          <w:rFonts w:ascii="Times New Roman" w:hAnsi="Times New Roman" w:cs="Times New Roman"/>
          <w:iCs/>
          <w:sz w:val="24"/>
          <w:szCs w:val="24"/>
        </w:rPr>
      </w:pPr>
      <w:r w:rsidRPr="00C148DF">
        <w:rPr>
          <w:rFonts w:ascii="Times New Roman" w:hAnsi="Times New Roman" w:cs="Times New Roman"/>
          <w:iCs/>
          <w:sz w:val="24"/>
          <w:szCs w:val="24"/>
        </w:rPr>
        <w:t>Významný vplyv na rozvoj PS 400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má najmä rozvoj nových výrobných kapacít a zmena ich štruktúry tak na území SR, ako aj na území okolitých štátov. Oba faktory majú priamy či nepriamy dopad na zaťaženie zariadení ES SR, z čoho </w:t>
      </w:r>
      <w:r w:rsidRPr="00C148DF">
        <w:rPr>
          <w:rFonts w:ascii="Times New Roman" w:hAnsi="Times New Roman" w:cs="Times New Roman"/>
          <w:sz w:val="24"/>
          <w:szCs w:val="24"/>
        </w:rPr>
        <w:t>vyplýva potreba posilňovania infraštruktúry PS SR. Okrem toho, strategický cieľ SR vo výrobe elektriny je Energetickou politikou SR nasmerovaný k exportnej bilancii SR (EMO 3,4, decentralizovaná výroba a OZE, po roku 2045 potreba nákladovo efektívnej náhrady za existujúce jadrové zdroje), čo má, resp. bude mať vplyv na zaťažovanie cezhraničných profilov exportnými tokmi. Rozširovanie a s tým spojené posilňovanie 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PS je, okrem už vyššie spomenutého postupného útlmu 220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PS, podmienené taktiež </w:t>
      </w:r>
      <w:r w:rsidRPr="00C148DF">
        <w:rPr>
          <w:rFonts w:ascii="Times New Roman" w:hAnsi="Times New Roman" w:cs="Times New Roman"/>
          <w:iCs/>
          <w:sz w:val="24"/>
          <w:szCs w:val="24"/>
        </w:rPr>
        <w:t>investičnými zámermi existujúcich, ako aj potenciálne nových užívateľov 400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PS, podnetmi zo strany nižších napäťových úrovní jednotlivých DS (predovšetkým </w:t>
      </w:r>
      <w:r w:rsidRPr="00C148DF">
        <w:rPr>
          <w:rFonts w:ascii="Times New Roman" w:hAnsi="Times New Roman" w:cs="Times New Roman"/>
          <w:iCs/>
          <w:sz w:val="24"/>
          <w:szCs w:val="24"/>
        </w:rPr>
        <w:lastRenderedPageBreak/>
        <w:t xml:space="preserve">z pohľadu decentralizovanej výroby), alebo aj cezhraničnými vplyvmi. Zabudnúť sa nesmie ani na pravidelnú obnovu a modernizáciu existujúcej 400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infraštruktúry. Ďalším významným vplyvom je potreba regulácie nadbytočného jalového výkonu v PS, a to aj v súvislosti s jeho pretokmi z DS. Na riešenie tohto problému na úrovni PS má SEPS pripravené viaceré investície do kompenzačných tlmiviek v terciárnych vinutiach transformátorov PS/DS.</w:t>
      </w:r>
    </w:p>
    <w:p w14:paraId="1DEBFC4D" w14:textId="77777777" w:rsidR="00B27340" w:rsidRPr="00C148DF" w:rsidRDefault="00B27340" w:rsidP="00003436">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Rozvoj prenosovej infraštruktúry bude ovplyvnený aj útlmom svetovej ekonomiky v súvislosti s ochorením COVID-19, nakoľko aj PPS čelí poklesu tržieb, resp. zisku, čo sa odzrkadlí na výške plánovaných investícií v najbližších rokoch.</w:t>
      </w:r>
    </w:p>
    <w:p w14:paraId="013AD6B7" w14:textId="77777777" w:rsidR="00B27340" w:rsidRPr="00C148DF" w:rsidRDefault="00B27340" w:rsidP="00003436">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 xml:space="preserve">Nasledujúce informácie o investičných zámeroch prevádzkovateľa PS vychádzajú z dokumentu Plán Rozvoja SEPS na roky 2020 až 2029 a z  Desaťročného plánu rozvoja prenosovej sústavy na roky 2020 – 2029, ktorý je verejne dostupný na webovom sídle SEPS. Informácie o vybraných projektoch SEPS sú dostupné aj v dokumente Ten </w:t>
      </w:r>
      <w:proofErr w:type="spellStart"/>
      <w:r w:rsidRPr="00C148DF">
        <w:rPr>
          <w:rFonts w:ascii="Times New Roman" w:hAnsi="Times New Roman" w:cs="Times New Roman"/>
          <w:iCs/>
          <w:sz w:val="24"/>
          <w:szCs w:val="24"/>
        </w:rPr>
        <w:t>Year</w:t>
      </w:r>
      <w:proofErr w:type="spellEnd"/>
      <w:r w:rsidRPr="00C148DF">
        <w:rPr>
          <w:rFonts w:ascii="Times New Roman" w:hAnsi="Times New Roman" w:cs="Times New Roman"/>
          <w:iCs/>
          <w:sz w:val="24"/>
          <w:szCs w:val="24"/>
        </w:rPr>
        <w:t xml:space="preserve"> </w:t>
      </w:r>
      <w:proofErr w:type="spellStart"/>
      <w:r w:rsidRPr="00C148DF">
        <w:rPr>
          <w:rFonts w:ascii="Times New Roman" w:hAnsi="Times New Roman" w:cs="Times New Roman"/>
          <w:iCs/>
          <w:sz w:val="24"/>
          <w:szCs w:val="24"/>
        </w:rPr>
        <w:t>Network</w:t>
      </w:r>
      <w:proofErr w:type="spellEnd"/>
      <w:r w:rsidRPr="00C148DF">
        <w:rPr>
          <w:rFonts w:ascii="Times New Roman" w:hAnsi="Times New Roman" w:cs="Times New Roman"/>
          <w:iCs/>
          <w:sz w:val="24"/>
          <w:szCs w:val="24"/>
        </w:rPr>
        <w:t xml:space="preserve"> </w:t>
      </w:r>
      <w:proofErr w:type="spellStart"/>
      <w:r w:rsidRPr="00C148DF">
        <w:rPr>
          <w:rFonts w:ascii="Times New Roman" w:hAnsi="Times New Roman" w:cs="Times New Roman"/>
          <w:iCs/>
          <w:sz w:val="24"/>
          <w:szCs w:val="24"/>
        </w:rPr>
        <w:t>Development</w:t>
      </w:r>
      <w:proofErr w:type="spellEnd"/>
      <w:r w:rsidRPr="00C148DF">
        <w:rPr>
          <w:rFonts w:ascii="Times New Roman" w:hAnsi="Times New Roman" w:cs="Times New Roman"/>
          <w:iCs/>
          <w:sz w:val="24"/>
          <w:szCs w:val="24"/>
        </w:rPr>
        <w:t xml:space="preserve"> </w:t>
      </w:r>
      <w:proofErr w:type="spellStart"/>
      <w:r w:rsidRPr="00C148DF">
        <w:rPr>
          <w:rFonts w:ascii="Times New Roman" w:hAnsi="Times New Roman" w:cs="Times New Roman"/>
          <w:iCs/>
          <w:sz w:val="24"/>
          <w:szCs w:val="24"/>
        </w:rPr>
        <w:t>Plan</w:t>
      </w:r>
      <w:proofErr w:type="spellEnd"/>
      <w:r w:rsidRPr="00C148DF">
        <w:rPr>
          <w:rFonts w:ascii="Times New Roman" w:hAnsi="Times New Roman" w:cs="Times New Roman"/>
          <w:iCs/>
          <w:sz w:val="24"/>
          <w:szCs w:val="24"/>
        </w:rPr>
        <w:t xml:space="preserve"> ENTSO-E, ktorého aktuálna verzia je dostupná na webovom sídle </w:t>
      </w:r>
      <w:r w:rsidRPr="00C148DF">
        <w:rPr>
          <w:rStyle w:val="Hypertextovprepojenie"/>
          <w:rFonts w:ascii="Times New Roman" w:hAnsi="Times New Roman" w:cs="Times New Roman"/>
          <w:iCs/>
          <w:sz w:val="24"/>
          <w:szCs w:val="24"/>
        </w:rPr>
        <w:t>ENTSO</w:t>
      </w:r>
      <w:r w:rsidRPr="00C148DF">
        <w:rPr>
          <w:rStyle w:val="Hypertextovprepojenie"/>
          <w:rFonts w:ascii="Times New Roman" w:hAnsi="Times New Roman" w:cs="Times New Roman"/>
          <w:iCs/>
          <w:sz w:val="24"/>
          <w:szCs w:val="24"/>
        </w:rPr>
        <w:noBreakHyphen/>
        <w:t>E</w:t>
      </w:r>
      <w:r w:rsidRPr="00C148DF">
        <w:rPr>
          <w:rStyle w:val="Odkaznapoznmkupodiarou"/>
          <w:rFonts w:ascii="Times New Roman" w:hAnsi="Times New Roman" w:cs="Times New Roman"/>
          <w:iCs/>
          <w:sz w:val="24"/>
          <w:szCs w:val="24"/>
        </w:rPr>
        <w:footnoteReference w:id="6"/>
      </w:r>
      <w:r w:rsidRPr="00C148DF">
        <w:rPr>
          <w:rFonts w:ascii="Times New Roman" w:hAnsi="Times New Roman" w:cs="Times New Roman"/>
          <w:iCs/>
          <w:sz w:val="24"/>
          <w:szCs w:val="24"/>
        </w:rPr>
        <w:t xml:space="preserve">. Základné informácie o projektoch spoločného záujmu SEPS sú dostupné na webovom sídle </w:t>
      </w:r>
      <w:r w:rsidRPr="00C148DF">
        <w:rPr>
          <w:rStyle w:val="Hypertextovprepojenie"/>
          <w:rFonts w:ascii="Times New Roman" w:hAnsi="Times New Roman" w:cs="Times New Roman"/>
          <w:iCs/>
          <w:sz w:val="24"/>
          <w:szCs w:val="24"/>
        </w:rPr>
        <w:t>MH SR</w:t>
      </w:r>
      <w:r w:rsidRPr="00C148DF">
        <w:rPr>
          <w:rStyle w:val="Odkaznapoznmkupodiarou"/>
          <w:rFonts w:ascii="Times New Roman" w:hAnsi="Times New Roman" w:cs="Times New Roman"/>
          <w:iCs/>
          <w:sz w:val="24"/>
          <w:szCs w:val="24"/>
        </w:rPr>
        <w:footnoteReference w:id="7"/>
      </w:r>
      <w:r w:rsidRPr="00C148DF">
        <w:rPr>
          <w:rFonts w:ascii="Times New Roman" w:hAnsi="Times New Roman" w:cs="Times New Roman"/>
          <w:iCs/>
          <w:sz w:val="24"/>
          <w:szCs w:val="24"/>
        </w:rPr>
        <w:t>.</w:t>
      </w:r>
    </w:p>
    <w:p w14:paraId="494BDB8F" w14:textId="77777777" w:rsidR="00B27340" w:rsidRPr="00DB5342" w:rsidRDefault="00B27340" w:rsidP="00003436">
      <w:pPr>
        <w:pStyle w:val="Nadpis2"/>
        <w:numPr>
          <w:ilvl w:val="1"/>
          <w:numId w:val="12"/>
        </w:numPr>
        <w:spacing w:before="240" w:after="120" w:line="259" w:lineRule="auto"/>
        <w:ind w:left="578" w:hanging="578"/>
        <w:jc w:val="both"/>
        <w:rPr>
          <w:rFonts w:ascii="Times New Roman" w:hAnsi="Times New Roman" w:cs="Times New Roman"/>
          <w:b/>
          <w:color w:val="000000" w:themeColor="text1"/>
          <w:sz w:val="24"/>
          <w:szCs w:val="24"/>
        </w:rPr>
      </w:pPr>
      <w:bookmarkStart w:id="17" w:name="_Toc46594172"/>
      <w:r w:rsidRPr="00DB5342">
        <w:rPr>
          <w:rFonts w:ascii="Times New Roman" w:hAnsi="Times New Roman" w:cs="Times New Roman"/>
          <w:b/>
          <w:color w:val="000000" w:themeColor="text1"/>
          <w:sz w:val="24"/>
          <w:szCs w:val="24"/>
        </w:rPr>
        <w:t>Vnútroštátne investičné zámery prevádzkovateľa PS</w:t>
      </w:r>
      <w:bookmarkEnd w:id="17"/>
    </w:p>
    <w:p w14:paraId="7E32D5D0"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 xml:space="preserve">K hlavným investičným zámerom prevádzkovateľa PS patrí prebiehajúca prestavba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na ich diaľkovo riadenú a </w:t>
      </w:r>
      <w:proofErr w:type="spellStart"/>
      <w:r w:rsidRPr="00C148DF">
        <w:rPr>
          <w:rFonts w:ascii="Times New Roman" w:hAnsi="Times New Roman" w:cs="Times New Roman"/>
          <w:sz w:val="24"/>
          <w:szCs w:val="24"/>
        </w:rPr>
        <w:t>bezobslužnú</w:t>
      </w:r>
      <w:proofErr w:type="spellEnd"/>
      <w:r w:rsidRPr="00C148DF">
        <w:rPr>
          <w:rFonts w:ascii="Times New Roman" w:hAnsi="Times New Roman" w:cs="Times New Roman"/>
          <w:sz w:val="24"/>
          <w:szCs w:val="24"/>
        </w:rPr>
        <w:t xml:space="preserve"> prevádzku. Pri jej realizácii sú zohľadnené požiadavky na dostatočne dlhú bezporuchovú prevádzku zariadení s minimálnymi nárokmi na vykonávanie revíznych a údržbových činností.</w:t>
      </w:r>
    </w:p>
    <w:p w14:paraId="7F418232"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V súčasnosti prebiehajú výrazné zmeny súvisiace s prechodom z napäťovej hladiny 220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na 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v elektrickej stanici Bystričany a Senica (detailnejšie informácie sú uvedené nižšie v texte). V rámci toho bude v uvedených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realizovaný aj režim diaľkového riadenia. V prípade ostatných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vo vlastníctve SEPS na napäťovej úrovni 220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s transformáciou 220/110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(okrem 220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Senica, ktorá je už v súčasnosti diaľkovo riadená), sa v týchto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s realizáciou diaľkového riadenia už neuvažuje v súvislosti s vyššie spomenutým postupným útlmom a likvidáciou 220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PS. </w:t>
      </w:r>
    </w:p>
    <w:p w14:paraId="0F2CBF1D" w14:textId="77777777" w:rsidR="00B27340" w:rsidRPr="00C148DF" w:rsidRDefault="00B27340" w:rsidP="00003436">
      <w:pPr>
        <w:jc w:val="both"/>
        <w:rPr>
          <w:rFonts w:ascii="Times New Roman" w:hAnsi="Times New Roman" w:cs="Times New Roman"/>
          <w:iCs/>
          <w:sz w:val="24"/>
          <w:szCs w:val="24"/>
        </w:rPr>
      </w:pPr>
      <w:r w:rsidRPr="00C148DF">
        <w:rPr>
          <w:rFonts w:ascii="Times New Roman" w:hAnsi="Times New Roman" w:cs="Times New Roman"/>
          <w:iCs/>
          <w:sz w:val="24"/>
          <w:szCs w:val="24"/>
        </w:rPr>
        <w:t xml:space="preserve">Predpokladáme, že po roku 2032 by mali byť všetky </w:t>
      </w:r>
      <w:proofErr w:type="spellStart"/>
      <w:r w:rsidRPr="00C148DF">
        <w:rPr>
          <w:rFonts w:ascii="Times New Roman" w:hAnsi="Times New Roman" w:cs="Times New Roman"/>
          <w:iCs/>
          <w:sz w:val="24"/>
          <w:szCs w:val="24"/>
        </w:rPr>
        <w:t>ESt</w:t>
      </w:r>
      <w:proofErr w:type="spellEnd"/>
      <w:r w:rsidRPr="00C148DF">
        <w:rPr>
          <w:rFonts w:ascii="Times New Roman" w:hAnsi="Times New Roman" w:cs="Times New Roman"/>
          <w:iCs/>
          <w:sz w:val="24"/>
          <w:szCs w:val="24"/>
        </w:rPr>
        <w:t xml:space="preserve"> vo vlastníctve SEPS prevádzkované v režime diaľkového riadenia. </w:t>
      </w:r>
    </w:p>
    <w:p w14:paraId="42AC7442" w14:textId="77777777" w:rsidR="00B27340" w:rsidRPr="00C148DF" w:rsidRDefault="00B27340" w:rsidP="00003436">
      <w:pPr>
        <w:jc w:val="both"/>
        <w:rPr>
          <w:rFonts w:ascii="Times New Roman" w:hAnsi="Times New Roman" w:cs="Times New Roman"/>
          <w:iCs/>
          <w:sz w:val="24"/>
          <w:szCs w:val="24"/>
        </w:rPr>
      </w:pPr>
      <w:proofErr w:type="spellStart"/>
      <w:r w:rsidRPr="00C148DF">
        <w:rPr>
          <w:rFonts w:ascii="Times New Roman" w:hAnsi="Times New Roman" w:cs="Times New Roman"/>
          <w:iCs/>
          <w:sz w:val="24"/>
          <w:szCs w:val="24"/>
        </w:rPr>
        <w:t>ESt</w:t>
      </w:r>
      <w:proofErr w:type="spellEnd"/>
      <w:r w:rsidRPr="00C148DF">
        <w:rPr>
          <w:rFonts w:ascii="Times New Roman" w:hAnsi="Times New Roman" w:cs="Times New Roman"/>
          <w:iCs/>
          <w:sz w:val="24"/>
          <w:szCs w:val="24"/>
        </w:rPr>
        <w:t xml:space="preserve"> Považská Bystrica bude </w:t>
      </w:r>
      <w:r w:rsidRPr="00C148DF">
        <w:rPr>
          <w:rFonts w:ascii="Times New Roman" w:hAnsi="Times New Roman" w:cs="Times New Roman"/>
          <w:sz w:val="24"/>
          <w:szCs w:val="24"/>
        </w:rPr>
        <w:t xml:space="preserve">nahradená novou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Ladce s R400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s transformáciou 2x 400/110/33kV. Do R400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Ladce bude zaslučkované súčasné 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vedenie V495 Bošáca - Varín. Na základe súčasných dohôd so SSD sa predpokladá vyvedenie výkonu z transformátorov 400/110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štyrmi vedeniami 110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do distribučnej sústavy SSD. Projekt je vo fáze prípravy zmluvy o spoločnom postupe, v ktorej bude dohodnutý vecný, časový a finančný rozsah spolupráce medzi SEPS a SSD pri príprave a realizácii tohto projektu. </w:t>
      </w:r>
    </w:p>
    <w:p w14:paraId="6CF4CEB5" w14:textId="77777777" w:rsidR="00B27340" w:rsidRPr="00C148DF" w:rsidRDefault="00B27340" w:rsidP="00003436">
      <w:pPr>
        <w:jc w:val="both"/>
        <w:rPr>
          <w:rFonts w:ascii="Times New Roman" w:hAnsi="Times New Roman" w:cs="Times New Roman"/>
          <w:iCs/>
          <w:sz w:val="24"/>
          <w:szCs w:val="24"/>
        </w:rPr>
      </w:pPr>
      <w:r w:rsidRPr="00C148DF">
        <w:rPr>
          <w:rFonts w:ascii="Times New Roman" w:hAnsi="Times New Roman" w:cs="Times New Roman"/>
          <w:iCs/>
          <w:sz w:val="24"/>
          <w:szCs w:val="24"/>
        </w:rPr>
        <w:t>Významnou investíciou v procese postupnej náhrady 220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sústavy v PS SR je prechod </w:t>
      </w:r>
      <w:proofErr w:type="spellStart"/>
      <w:r w:rsidRPr="00C148DF">
        <w:rPr>
          <w:rFonts w:ascii="Times New Roman" w:hAnsi="Times New Roman" w:cs="Times New Roman"/>
          <w:iCs/>
          <w:sz w:val="24"/>
          <w:szCs w:val="24"/>
        </w:rPr>
        <w:t>ESt</w:t>
      </w:r>
      <w:proofErr w:type="spellEnd"/>
      <w:r w:rsidRPr="00C148DF">
        <w:rPr>
          <w:rFonts w:ascii="Times New Roman" w:hAnsi="Times New Roman" w:cs="Times New Roman"/>
          <w:iCs/>
          <w:sz w:val="24"/>
          <w:szCs w:val="24"/>
        </w:rPr>
        <w:t> Bystričany z transformácie 220/110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na transformáciu 400/110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Prechod uvedenej PS/DS transformácie je súčasťou súboru stavieb „Transformácia 400/110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Bystričany“. Tento súbor stavieb je spolufinancovaný z podporného fondu BIDSF, spravovaného Európskou bankou </w:t>
      </w:r>
      <w:r w:rsidRPr="00C148DF">
        <w:rPr>
          <w:rFonts w:ascii="Times New Roman" w:hAnsi="Times New Roman" w:cs="Times New Roman"/>
          <w:iCs/>
          <w:sz w:val="24"/>
          <w:szCs w:val="24"/>
        </w:rPr>
        <w:lastRenderedPageBreak/>
        <w:t>pre obnovu a rozvoj, ktorý je určený na zníženie dôsledkov predčasného odstavenia jadrovej elektrárne EBO V1 v Jaslovských Bohuniciach. Súčasťou tohto súboru sú nasledovné stavby:</w:t>
      </w:r>
    </w:p>
    <w:p w14:paraId="06AAE194" w14:textId="77777777" w:rsidR="00B27340" w:rsidRPr="00C148DF" w:rsidRDefault="00B27340" w:rsidP="005F0557">
      <w:pPr>
        <w:pStyle w:val="Zkladntext3"/>
        <w:numPr>
          <w:ilvl w:val="0"/>
          <w:numId w:val="5"/>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rozvodňa 400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Bystričany,</w:t>
      </w:r>
    </w:p>
    <w:p w14:paraId="649CACED" w14:textId="77777777" w:rsidR="00B27340" w:rsidRPr="00C148DF" w:rsidRDefault="00B27340" w:rsidP="005F0557">
      <w:pPr>
        <w:pStyle w:val="Zkladntext3"/>
        <w:numPr>
          <w:ilvl w:val="0"/>
          <w:numId w:val="5"/>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vedenie 2x400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Horná Ždaňa – lokalita Oslany,</w:t>
      </w:r>
    </w:p>
    <w:p w14:paraId="69A2E8D8" w14:textId="77777777" w:rsidR="00B27340" w:rsidRPr="00C148DF" w:rsidRDefault="00B27340" w:rsidP="005F0557">
      <w:pPr>
        <w:pStyle w:val="Zkladntext3"/>
        <w:numPr>
          <w:ilvl w:val="0"/>
          <w:numId w:val="5"/>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rozvodňa 400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Horná Ždaňa – rozšírenie,</w:t>
      </w:r>
    </w:p>
    <w:p w14:paraId="29CBA420" w14:textId="77777777" w:rsidR="00B27340" w:rsidRPr="00C148DF" w:rsidRDefault="00B27340" w:rsidP="005F0557">
      <w:pPr>
        <w:pStyle w:val="Zkladntext3"/>
        <w:numPr>
          <w:ilvl w:val="0"/>
          <w:numId w:val="5"/>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vedenie 2x400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Bystričany – Križovany,</w:t>
      </w:r>
    </w:p>
    <w:p w14:paraId="04642A8F" w14:textId="77777777" w:rsidR="00B27340" w:rsidRPr="00C148DF" w:rsidRDefault="00B27340" w:rsidP="005F0557">
      <w:pPr>
        <w:pStyle w:val="Zkladntext3"/>
        <w:numPr>
          <w:ilvl w:val="0"/>
          <w:numId w:val="5"/>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rozvodňa 400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Križovany – rozšírenie,</w:t>
      </w:r>
    </w:p>
    <w:p w14:paraId="11C155A4" w14:textId="77777777" w:rsidR="00B27340" w:rsidRPr="00C148DF" w:rsidRDefault="00B27340" w:rsidP="005F0557">
      <w:pPr>
        <w:pStyle w:val="Zkladntext3"/>
        <w:numPr>
          <w:ilvl w:val="0"/>
          <w:numId w:val="5"/>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transformácia 400/110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Bystričany – transformátory T401 a T402.</w:t>
      </w:r>
    </w:p>
    <w:p w14:paraId="40FF3611"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V roku 2019 boli skolaudované stavby: rozvodňa 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Bystričany,  rozvodňa 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Horná Ždaňa – rozšírenie a rozvodňa 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Križovany – rozšírenie. Vedenie 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Križovany – Bystričany je vo výstavbe v koridore pôvodného 220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vedenia V274 Križovany – Bystričany. Jeden poťah tohto vedenia bude prechodne prevádzkovaný ako 220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vedenie Bystričany – Križovany, druhý poťah tohto vedenia bude prevádzkovaný ako 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vedenie Bystričany – Križovany. Ide  o prechodný stav pred definitívnym ukončením prevádzky transformácie 220/110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v Bystričanoch, a to so zreteľom na časovo limitované čerpanie finančných prostriedkov z fondu BIDSF na tento súbor stavieb. V konečnom stave budú obidva poťahy vedenia Bystričany – Križovany prevádzkované na 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pričom jeden z nich bude v lokalite Oslany prerušený a zaústený do R 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Horná Ždaňa. Ukončenie celého súboru stavieb sa predpokladá v roku 2022, hoci v prípade vedenia 2x400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H. Ždaňa - lokalita Oslany je proces získavania stavebného povolenia prerušený z dôvodu pokračujúceho predkladania námietok účastníkmi konania. To, kedy bude vydané stavebné povolenie, po ktorom sa spustí proces výberu zhotoviteľa stavby, sa v súčasnosti nedá odhadnúť.</w:t>
      </w:r>
    </w:p>
    <w:p w14:paraId="19C9FA94" w14:textId="77777777" w:rsidR="00B27340" w:rsidRPr="00C148DF" w:rsidRDefault="00B27340" w:rsidP="00B27340">
      <w:pPr>
        <w:pStyle w:val="Zkladntext3"/>
        <w:spacing w:line="259" w:lineRule="auto"/>
        <w:rPr>
          <w:rFonts w:ascii="Times New Roman" w:hAnsi="Times New Roman" w:cs="Times New Roman"/>
          <w:iCs/>
          <w:sz w:val="24"/>
          <w:szCs w:val="24"/>
        </w:rPr>
      </w:pPr>
      <w:r w:rsidRPr="00C148DF">
        <w:rPr>
          <w:rFonts w:ascii="Times New Roman" w:hAnsi="Times New Roman" w:cs="Times New Roman"/>
          <w:iCs/>
          <w:sz w:val="24"/>
          <w:szCs w:val="24"/>
        </w:rPr>
        <w:t xml:space="preserve">V západnej časti PS SR realizuje SEPS dva významné investičné projekty. </w:t>
      </w:r>
    </w:p>
    <w:p w14:paraId="749EAF6B" w14:textId="77777777" w:rsidR="00B27340" w:rsidRPr="00C148DF" w:rsidRDefault="00B27340" w:rsidP="00B27340">
      <w:pPr>
        <w:pStyle w:val="Zkladntext3"/>
        <w:spacing w:line="259" w:lineRule="auto"/>
        <w:rPr>
          <w:rFonts w:ascii="Times New Roman" w:hAnsi="Times New Roman" w:cs="Times New Roman"/>
          <w:iCs/>
          <w:sz w:val="24"/>
          <w:szCs w:val="24"/>
        </w:rPr>
      </w:pPr>
      <w:r w:rsidRPr="00C148DF">
        <w:rPr>
          <w:rFonts w:ascii="Times New Roman" w:hAnsi="Times New Roman" w:cs="Times New Roman"/>
          <w:iCs/>
          <w:sz w:val="24"/>
          <w:szCs w:val="24"/>
        </w:rPr>
        <w:t>Prvým je súbor stavieb „Transformácia 400/110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Senica“ v nasledujúcom rozsahu:</w:t>
      </w:r>
    </w:p>
    <w:p w14:paraId="06BC89CB" w14:textId="77777777" w:rsidR="00B27340" w:rsidRPr="00C148DF" w:rsidRDefault="00B27340" w:rsidP="005F0557">
      <w:pPr>
        <w:pStyle w:val="Zkladntext3"/>
        <w:numPr>
          <w:ilvl w:val="0"/>
          <w:numId w:val="6"/>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transformácia 400/110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Senica,</w:t>
      </w:r>
    </w:p>
    <w:p w14:paraId="09FEF635" w14:textId="77777777" w:rsidR="00B27340" w:rsidRPr="00C148DF" w:rsidRDefault="00B27340" w:rsidP="005F0557">
      <w:pPr>
        <w:pStyle w:val="Zkladntext3"/>
        <w:numPr>
          <w:ilvl w:val="0"/>
          <w:numId w:val="6"/>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zaslučkovanie vedenia V424 do R 400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v </w:t>
      </w:r>
      <w:proofErr w:type="spellStart"/>
      <w:r w:rsidRPr="00C148DF">
        <w:rPr>
          <w:rFonts w:ascii="Times New Roman" w:hAnsi="Times New Roman" w:cs="Times New Roman"/>
          <w:iCs/>
          <w:sz w:val="24"/>
          <w:szCs w:val="24"/>
        </w:rPr>
        <w:t>ESt</w:t>
      </w:r>
      <w:proofErr w:type="spellEnd"/>
      <w:r w:rsidRPr="00C148DF">
        <w:rPr>
          <w:rFonts w:ascii="Times New Roman" w:hAnsi="Times New Roman" w:cs="Times New Roman"/>
          <w:iCs/>
          <w:sz w:val="24"/>
          <w:szCs w:val="24"/>
        </w:rPr>
        <w:t xml:space="preserve"> Senica.</w:t>
      </w:r>
    </w:p>
    <w:p w14:paraId="15381158" w14:textId="77777777" w:rsidR="00B27340" w:rsidRPr="00C148DF" w:rsidRDefault="00B27340" w:rsidP="00003436">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Prechod na napäťovú úroveň 400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v tejto </w:t>
      </w:r>
      <w:proofErr w:type="spellStart"/>
      <w:r w:rsidRPr="00C148DF">
        <w:rPr>
          <w:rFonts w:ascii="Times New Roman" w:hAnsi="Times New Roman" w:cs="Times New Roman"/>
          <w:iCs/>
          <w:sz w:val="24"/>
          <w:szCs w:val="24"/>
        </w:rPr>
        <w:t>ESt</w:t>
      </w:r>
      <w:proofErr w:type="spellEnd"/>
      <w:r w:rsidRPr="00C148DF">
        <w:rPr>
          <w:rFonts w:ascii="Times New Roman" w:hAnsi="Times New Roman" w:cs="Times New Roman"/>
          <w:iCs/>
          <w:sz w:val="24"/>
          <w:szCs w:val="24"/>
        </w:rPr>
        <w:t xml:space="preserve"> sa zabezpečí výstavbou novej rozvodne 400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v rozsahu piatich polí, zaslučkovaním existujúceho 400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vedenia V424 (Križovany – </w:t>
      </w:r>
      <w:proofErr w:type="spellStart"/>
      <w:r w:rsidRPr="00C148DF">
        <w:rPr>
          <w:rFonts w:ascii="Times New Roman" w:hAnsi="Times New Roman" w:cs="Times New Roman"/>
          <w:iCs/>
          <w:sz w:val="24"/>
          <w:szCs w:val="24"/>
        </w:rPr>
        <w:t>Sokolnice</w:t>
      </w:r>
      <w:proofErr w:type="spellEnd"/>
      <w:r w:rsidRPr="00C148DF">
        <w:rPr>
          <w:rFonts w:ascii="Times New Roman" w:hAnsi="Times New Roman" w:cs="Times New Roman"/>
          <w:iCs/>
          <w:sz w:val="24"/>
          <w:szCs w:val="24"/>
        </w:rPr>
        <w:t xml:space="preserve">) do novej 400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rozvodne a vybudovaním novej transformácie 400/110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350 MVA. Zároveň, výstavbou R400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Senica dôjde k likvidácii existujúcej R220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Senica. Súbor stavieb je vo fáze projektových a inžinierskych prác. Územné rozhodnutia sú vydané, stavebné povolenie na zaslučkovanie vedenia V424 tiež a prebieha výber dodávateľa realizačných prác. Práce na novej R400kV Senica pokračujú vo fáze inžinierskych a projektových činností. Uvedenie novej transformácie 400/110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Senica do prevádzky sa predpokladá v roku 2023.</w:t>
      </w:r>
    </w:p>
    <w:p w14:paraId="22FE1864" w14:textId="77777777" w:rsidR="00B27340" w:rsidRPr="00C148DF" w:rsidRDefault="00B27340" w:rsidP="00003436">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Druhým je investičný projekt „</w:t>
      </w:r>
      <w:r w:rsidRPr="00C148DF">
        <w:rPr>
          <w:rFonts w:ascii="Times New Roman" w:hAnsi="Times New Roman" w:cs="Times New Roman"/>
          <w:sz w:val="24"/>
          <w:szCs w:val="24"/>
        </w:rPr>
        <w:t xml:space="preserve">Diaľkové riadenie a výmena transformátora T404 v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Podunajské Biskupice, prechod rozvodne 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Podunajské Biskupice na rozvodňu nového typu</w:t>
      </w:r>
      <w:r w:rsidRPr="00C148DF">
        <w:rPr>
          <w:rFonts w:ascii="Times New Roman" w:hAnsi="Times New Roman" w:cs="Times New Roman"/>
          <w:iCs/>
          <w:sz w:val="24"/>
          <w:szCs w:val="24"/>
        </w:rPr>
        <w:t>“. Súčasťou súboru stavieb je prechod R400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xml:space="preserve"> na diaľkové riadene a </w:t>
      </w:r>
      <w:proofErr w:type="spellStart"/>
      <w:r w:rsidRPr="00C148DF">
        <w:rPr>
          <w:rFonts w:ascii="Times New Roman" w:hAnsi="Times New Roman" w:cs="Times New Roman"/>
          <w:iCs/>
          <w:sz w:val="24"/>
          <w:szCs w:val="24"/>
        </w:rPr>
        <w:t>bezobslužnú</w:t>
      </w:r>
      <w:proofErr w:type="spellEnd"/>
      <w:r w:rsidRPr="00C148DF">
        <w:rPr>
          <w:rFonts w:ascii="Times New Roman" w:hAnsi="Times New Roman" w:cs="Times New Roman"/>
          <w:iCs/>
          <w:sz w:val="24"/>
          <w:szCs w:val="24"/>
        </w:rPr>
        <w:t xml:space="preserve"> prevádzku vrátane rekonštrukcie rozvodne na rúrové </w:t>
      </w:r>
      <w:proofErr w:type="spellStart"/>
      <w:r w:rsidRPr="00C148DF">
        <w:rPr>
          <w:rFonts w:ascii="Times New Roman" w:hAnsi="Times New Roman" w:cs="Times New Roman"/>
          <w:iCs/>
          <w:sz w:val="24"/>
          <w:szCs w:val="24"/>
        </w:rPr>
        <w:t>prípojnice</w:t>
      </w:r>
      <w:proofErr w:type="spellEnd"/>
      <w:r w:rsidRPr="00C148DF">
        <w:rPr>
          <w:rFonts w:ascii="Times New Roman" w:hAnsi="Times New Roman" w:cs="Times New Roman"/>
          <w:iCs/>
          <w:sz w:val="24"/>
          <w:szCs w:val="24"/>
        </w:rPr>
        <w:t xml:space="preserve"> so šírkou polí 18 m, ako aj výmena transformátora T404, 400/110 </w:t>
      </w:r>
      <w:proofErr w:type="spellStart"/>
      <w:r w:rsidRPr="00C148DF">
        <w:rPr>
          <w:rFonts w:ascii="Times New Roman" w:hAnsi="Times New Roman" w:cs="Times New Roman"/>
          <w:iCs/>
          <w:sz w:val="24"/>
          <w:szCs w:val="24"/>
        </w:rPr>
        <w:t>kV</w:t>
      </w:r>
      <w:proofErr w:type="spellEnd"/>
      <w:r w:rsidRPr="00C148DF">
        <w:rPr>
          <w:rFonts w:ascii="Times New Roman" w:hAnsi="Times New Roman" w:cs="Times New Roman"/>
          <w:iCs/>
          <w:sz w:val="24"/>
          <w:szCs w:val="24"/>
        </w:rPr>
        <w:t>. Realizácia súboru stavieb by mala byť ukončená v roku 2020.</w:t>
      </w:r>
    </w:p>
    <w:p w14:paraId="08FA6962" w14:textId="77777777" w:rsidR="00B27340" w:rsidRPr="00C148DF" w:rsidRDefault="00B27340" w:rsidP="00003436">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sz w:val="24"/>
          <w:szCs w:val="24"/>
        </w:rPr>
        <w:lastRenderedPageBreak/>
        <w:t xml:space="preserve">Okrem týchto dvoch už prebiehajúcich projektov, sú v tejto časti PS zvažované a vyhodnocované projekty výstavby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Vajnory a Nové Zámky vrátane novej transformácie 400/110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ktoré sú spoločnou aktivitou SEPS a ZSD. Ide o potenciálne rozvojové zámery, ktoré sa v čase spracovania tejto správy analyzované obomi spoločnosťami. Rozhodnutie o tom, ktorý z uvedených zámerov sa bude napokon realizovať, by malo byť známe najneskôr v treťom kvartáli 2020.</w:t>
      </w:r>
    </w:p>
    <w:p w14:paraId="09A978CC"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 xml:space="preserve">S odberateľom </w:t>
      </w:r>
      <w:proofErr w:type="spellStart"/>
      <w:r w:rsidRPr="00C148DF">
        <w:rPr>
          <w:rFonts w:ascii="Times New Roman" w:hAnsi="Times New Roman" w:cs="Times New Roman"/>
          <w:sz w:val="24"/>
          <w:szCs w:val="24"/>
        </w:rPr>
        <w:t>Duslo</w:t>
      </w:r>
      <w:proofErr w:type="spellEnd"/>
      <w:r w:rsidRPr="00C148DF">
        <w:rPr>
          <w:rFonts w:ascii="Times New Roman" w:hAnsi="Times New Roman" w:cs="Times New Roman"/>
          <w:sz w:val="24"/>
          <w:szCs w:val="24"/>
        </w:rPr>
        <w:t xml:space="preserve">, a. s., prebiehajú diskusie o spôsobe jeho napájania z PS po roku 2023, kedy vyprší platnosť zmluvy o pripojení. Problematika súvisí aj s tým, že </w:t>
      </w:r>
      <w:proofErr w:type="spellStart"/>
      <w:r w:rsidRPr="00C148DF">
        <w:rPr>
          <w:rFonts w:ascii="Times New Roman" w:hAnsi="Times New Roman" w:cs="Times New Roman"/>
          <w:sz w:val="24"/>
          <w:szCs w:val="24"/>
        </w:rPr>
        <w:t>Duslo</w:t>
      </w:r>
      <w:proofErr w:type="spellEnd"/>
      <w:r w:rsidRPr="00C148DF">
        <w:rPr>
          <w:rFonts w:ascii="Times New Roman" w:hAnsi="Times New Roman" w:cs="Times New Roman"/>
          <w:sz w:val="24"/>
          <w:szCs w:val="24"/>
        </w:rPr>
        <w:t>, a. s., je napájaný z 220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PS z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Križovany, ktorá bude v horizonte do roku 2023 významne oslabená (odstavenie 220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PS v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Senica a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Bystričany). SEPS aj </w:t>
      </w:r>
      <w:proofErr w:type="spellStart"/>
      <w:r w:rsidRPr="00C148DF">
        <w:rPr>
          <w:rFonts w:ascii="Times New Roman" w:hAnsi="Times New Roman" w:cs="Times New Roman"/>
          <w:sz w:val="24"/>
          <w:szCs w:val="24"/>
        </w:rPr>
        <w:t>Duslo</w:t>
      </w:r>
      <w:proofErr w:type="spellEnd"/>
      <w:r w:rsidRPr="00C148DF">
        <w:rPr>
          <w:rFonts w:ascii="Times New Roman" w:hAnsi="Times New Roman" w:cs="Times New Roman"/>
          <w:sz w:val="24"/>
          <w:szCs w:val="24"/>
        </w:rPr>
        <w:t>, a. s., intenzívne hľadajú obojstranne (technicky aj ekonomicky) vyhovujúce riešenie. Rokovania o konkrétnom technickom riešení sú v počiatočnej fáze, avšak z pohľadu SEPS pôjde o dôležitý investičný zámer v strednodobom horizonte.</w:t>
      </w:r>
    </w:p>
    <w:p w14:paraId="458BD352"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Prevádzkové problémy s vysokým napätím v oblasti tzv. severnej vetvy PS SR od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Varín, cez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Sučany,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Medzibrod,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Liptovská Mara (aj R400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Čierny Váh) až po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Spišská Nová Ves bolo rozhodnuté riešiť zvýšením inštalovaného výkonu kompenzačných zariadení vo vybraných staniciach SEPS.</w:t>
      </w:r>
    </w:p>
    <w:p w14:paraId="2036C6E2"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Prioritné je vybudovanie kompenzácie (2x45 </w:t>
      </w:r>
      <w:proofErr w:type="spellStart"/>
      <w:r w:rsidRPr="00C148DF">
        <w:rPr>
          <w:rFonts w:ascii="Times New Roman" w:hAnsi="Times New Roman" w:cs="Times New Roman"/>
          <w:sz w:val="24"/>
          <w:szCs w:val="24"/>
        </w:rPr>
        <w:t>MVAr</w:t>
      </w:r>
      <w:proofErr w:type="spellEnd"/>
      <w:r w:rsidRPr="00C148DF">
        <w:rPr>
          <w:rFonts w:ascii="Times New Roman" w:hAnsi="Times New Roman" w:cs="Times New Roman"/>
          <w:sz w:val="24"/>
          <w:szCs w:val="24"/>
        </w:rPr>
        <w:t xml:space="preserve">) v terciárnom vinutí transformátorov T401 a T402 Liptovská Mara. Realizácia by mala byť ukončená v roku 2021. </w:t>
      </w:r>
    </w:p>
    <w:p w14:paraId="70789AA0"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 xml:space="preserve">Nadväzujúcim a nemenej dôležitým projektom je „Kompenzácia v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Varín“. V rámci tohto IPR bude prostredníctvom 33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rozvodne pripojená kompenzačná tlmivka s výkonom 60 </w:t>
      </w:r>
      <w:proofErr w:type="spellStart"/>
      <w:r w:rsidRPr="00C148DF">
        <w:rPr>
          <w:rFonts w:ascii="Times New Roman" w:hAnsi="Times New Roman" w:cs="Times New Roman"/>
          <w:sz w:val="24"/>
          <w:szCs w:val="24"/>
        </w:rPr>
        <w:t>MVAr</w:t>
      </w:r>
      <w:proofErr w:type="spellEnd"/>
      <w:r w:rsidRPr="00C148DF">
        <w:rPr>
          <w:rFonts w:ascii="Times New Roman" w:hAnsi="Times New Roman" w:cs="Times New Roman"/>
          <w:sz w:val="24"/>
          <w:szCs w:val="24"/>
        </w:rPr>
        <w:t xml:space="preserve"> . Realizácia by mala byť ukončená v roku 2022. Ďalej bude realizovaný prechod tejto stanice na diaľkové riadenie a výmena T401 s predpokladaným termínom ukončenia v roku 2028. Rozsah a časový harmonogram uvedeného projektu sa v súčasnosti prehodnocuje.</w:t>
      </w:r>
    </w:p>
    <w:p w14:paraId="5DD0D3C0"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V tejto časti PS sa ešte plánuje výmena transformátorov T401 a T402 v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Liptovská Mara do roku 2030 a prechod stanice na diaľkové riadenie v horizonte roku 2032.</w:t>
      </w:r>
    </w:p>
    <w:p w14:paraId="2F584EAF"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Dôležitým zámerom z pohľadu spoľahlivosti zásobovania veľkoodberateľa elektriny, spoločnosti OFZ, ktorá je priamym odberateľom elektriny z PS, je realizácia transformácie 400/110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350 MVA, v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Sučany vrátane prechodu stanice do diaľkového riadenia, vybudovania novej R110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a rekonštrukcie R400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a to v rámci projektu „Prechod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Sučany do diaľkového riadenia“. Realizácia je naplánovaná na obdobie rokov 2020 – 2026. Súčasťou projektu presun kompenzačnej tlmivky 33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90 </w:t>
      </w:r>
      <w:proofErr w:type="spellStart"/>
      <w:r w:rsidRPr="00C148DF">
        <w:rPr>
          <w:rFonts w:ascii="Times New Roman" w:hAnsi="Times New Roman" w:cs="Times New Roman"/>
          <w:sz w:val="24"/>
          <w:szCs w:val="24"/>
        </w:rPr>
        <w:t>MVAr</w:t>
      </w:r>
      <w:proofErr w:type="spellEnd"/>
      <w:r w:rsidRPr="00C148DF">
        <w:rPr>
          <w:rFonts w:ascii="Times New Roman" w:hAnsi="Times New Roman" w:cs="Times New Roman"/>
          <w:sz w:val="24"/>
          <w:szCs w:val="24"/>
        </w:rPr>
        <w:t>, z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Voľa do terciárneho vinutia existujúceho T401 Sučany a pôvodná 60 </w:t>
      </w:r>
      <w:proofErr w:type="spellStart"/>
      <w:r w:rsidRPr="00C148DF">
        <w:rPr>
          <w:rFonts w:ascii="Times New Roman" w:hAnsi="Times New Roman" w:cs="Times New Roman"/>
          <w:sz w:val="24"/>
          <w:szCs w:val="24"/>
        </w:rPr>
        <w:t>MVAr</w:t>
      </w:r>
      <w:proofErr w:type="spellEnd"/>
      <w:r w:rsidRPr="00C148DF">
        <w:rPr>
          <w:rFonts w:ascii="Times New Roman" w:hAnsi="Times New Roman" w:cs="Times New Roman"/>
          <w:sz w:val="24"/>
          <w:szCs w:val="24"/>
        </w:rPr>
        <w:t xml:space="preserve"> tlmivka z T401 Sučany bude presunutá do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Voľa.</w:t>
      </w:r>
    </w:p>
    <w:p w14:paraId="69CF528F"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Vo východnej časti PS SR sa ukončuje realizácia investičného projektu „Výmena transformátorov T401, T402 a diaľkové riadenie v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Spišská Nová Ves“, v rámci ktorého sa zrealizuje prechod </w:t>
      </w:r>
      <w:proofErr w:type="spellStart"/>
      <w:r w:rsidRPr="00C148DF">
        <w:rPr>
          <w:rFonts w:ascii="Times New Roman" w:hAnsi="Times New Roman" w:cs="Times New Roman"/>
          <w:sz w:val="24"/>
          <w:szCs w:val="24"/>
        </w:rPr>
        <w:t>ESt</w:t>
      </w:r>
      <w:proofErr w:type="spellEnd"/>
      <w:r w:rsidRPr="00C148DF">
        <w:rPr>
          <w:rFonts w:ascii="Times New Roman" w:hAnsi="Times New Roman" w:cs="Times New Roman"/>
          <w:sz w:val="24"/>
          <w:szCs w:val="24"/>
        </w:rPr>
        <w:t xml:space="preserve"> na diaľkové riadenie a súčasne sa dožívajúce transformátory T401 a T402 vymenili za nové s menovitým výkonom 250 MVA. Oba nové transformátory boli uvedené do prevádzky. </w:t>
      </w:r>
    </w:p>
    <w:p w14:paraId="519F20A0"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V oblasti transformácie PS/DS sa do roku 2029 predpokladá doplnenie, resp. výmena fyzicky dožívajúcich transformátorov, pri ktorých sa predpokladá, že ich technický stav po uplynutí ich životnosti nedovolí ich ďalšiu bezpečnú a spoľahlivú prevádzku. Ide o nasledujúce projekty:</w:t>
      </w:r>
    </w:p>
    <w:p w14:paraId="60B36A72" w14:textId="77777777" w:rsidR="00B27340" w:rsidRPr="00C148DF" w:rsidRDefault="00B27340" w:rsidP="00DB5342">
      <w:pPr>
        <w:pStyle w:val="Zkladntext3"/>
        <w:numPr>
          <w:ilvl w:val="0"/>
          <w:numId w:val="7"/>
        </w:numPr>
        <w:autoSpaceDE w:val="0"/>
        <w:autoSpaceDN w:val="0"/>
        <w:adjustRightInd w:val="0"/>
        <w:spacing w:after="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lastRenderedPageBreak/>
        <w:t>výmena T401 v </w:t>
      </w:r>
      <w:proofErr w:type="spellStart"/>
      <w:r w:rsidRPr="00C148DF">
        <w:rPr>
          <w:rFonts w:ascii="Times New Roman" w:hAnsi="Times New Roman" w:cs="Times New Roman"/>
          <w:iCs/>
          <w:sz w:val="24"/>
          <w:szCs w:val="24"/>
        </w:rPr>
        <w:t>ESt</w:t>
      </w:r>
      <w:proofErr w:type="spellEnd"/>
      <w:r w:rsidRPr="00C148DF">
        <w:rPr>
          <w:rFonts w:ascii="Times New Roman" w:hAnsi="Times New Roman" w:cs="Times New Roman"/>
          <w:iCs/>
          <w:sz w:val="24"/>
          <w:szCs w:val="24"/>
        </w:rPr>
        <w:t xml:space="preserve"> Stupava,</w:t>
      </w:r>
    </w:p>
    <w:p w14:paraId="5E078CD3" w14:textId="77777777" w:rsidR="00B27340" w:rsidRPr="00C148DF" w:rsidRDefault="00B27340" w:rsidP="00DB5342">
      <w:pPr>
        <w:pStyle w:val="Zkladntext3"/>
        <w:numPr>
          <w:ilvl w:val="0"/>
          <w:numId w:val="7"/>
        </w:numPr>
        <w:autoSpaceDE w:val="0"/>
        <w:autoSpaceDN w:val="0"/>
        <w:adjustRightInd w:val="0"/>
        <w:spacing w:after="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výmena T402 v </w:t>
      </w:r>
      <w:proofErr w:type="spellStart"/>
      <w:r w:rsidRPr="00C148DF">
        <w:rPr>
          <w:rFonts w:ascii="Times New Roman" w:hAnsi="Times New Roman" w:cs="Times New Roman"/>
          <w:iCs/>
          <w:sz w:val="24"/>
          <w:szCs w:val="24"/>
        </w:rPr>
        <w:t>ESt</w:t>
      </w:r>
      <w:proofErr w:type="spellEnd"/>
      <w:r w:rsidRPr="00C148DF">
        <w:rPr>
          <w:rFonts w:ascii="Times New Roman" w:hAnsi="Times New Roman" w:cs="Times New Roman"/>
          <w:iCs/>
          <w:sz w:val="24"/>
          <w:szCs w:val="24"/>
        </w:rPr>
        <w:t xml:space="preserve"> Podunajské Biskupice,</w:t>
      </w:r>
    </w:p>
    <w:p w14:paraId="62B26CB1" w14:textId="77777777" w:rsidR="00B27340" w:rsidRPr="00C148DF" w:rsidRDefault="00B27340" w:rsidP="00DB5342">
      <w:pPr>
        <w:pStyle w:val="Zkladntext3"/>
        <w:numPr>
          <w:ilvl w:val="0"/>
          <w:numId w:val="7"/>
        </w:numPr>
        <w:autoSpaceDE w:val="0"/>
        <w:autoSpaceDN w:val="0"/>
        <w:adjustRightInd w:val="0"/>
        <w:spacing w:after="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výmena T401 a T403 v </w:t>
      </w:r>
      <w:proofErr w:type="spellStart"/>
      <w:r w:rsidRPr="00C148DF">
        <w:rPr>
          <w:rFonts w:ascii="Times New Roman" w:hAnsi="Times New Roman" w:cs="Times New Roman"/>
          <w:iCs/>
          <w:sz w:val="24"/>
          <w:szCs w:val="24"/>
        </w:rPr>
        <w:t>ESt</w:t>
      </w:r>
      <w:proofErr w:type="spellEnd"/>
      <w:r w:rsidRPr="00C148DF">
        <w:rPr>
          <w:rFonts w:ascii="Times New Roman" w:hAnsi="Times New Roman" w:cs="Times New Roman"/>
          <w:iCs/>
          <w:sz w:val="24"/>
          <w:szCs w:val="24"/>
        </w:rPr>
        <w:t xml:space="preserve"> Horná Ždaňa</w:t>
      </w:r>
      <w:r w:rsidRPr="00C148DF">
        <w:rPr>
          <w:rStyle w:val="Odkaznapoznmkupodiarou"/>
          <w:rFonts w:ascii="Times New Roman" w:hAnsi="Times New Roman" w:cs="Times New Roman"/>
          <w:iCs/>
          <w:sz w:val="24"/>
          <w:szCs w:val="24"/>
        </w:rPr>
        <w:footnoteReference w:id="8"/>
      </w:r>
      <w:r w:rsidRPr="00C148DF">
        <w:rPr>
          <w:rFonts w:ascii="Times New Roman" w:hAnsi="Times New Roman" w:cs="Times New Roman"/>
          <w:iCs/>
          <w:sz w:val="24"/>
          <w:szCs w:val="24"/>
        </w:rPr>
        <w:t>,</w:t>
      </w:r>
    </w:p>
    <w:p w14:paraId="7200ADAC" w14:textId="77777777" w:rsidR="00B27340" w:rsidRPr="00C148DF" w:rsidRDefault="00B27340" w:rsidP="00DB5342">
      <w:pPr>
        <w:pStyle w:val="Zkladntext3"/>
        <w:numPr>
          <w:ilvl w:val="0"/>
          <w:numId w:val="7"/>
        </w:numPr>
        <w:autoSpaceDE w:val="0"/>
        <w:autoSpaceDN w:val="0"/>
        <w:adjustRightInd w:val="0"/>
        <w:spacing w:after="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výmena T403 v </w:t>
      </w:r>
      <w:proofErr w:type="spellStart"/>
      <w:r w:rsidRPr="00C148DF">
        <w:rPr>
          <w:rFonts w:ascii="Times New Roman" w:hAnsi="Times New Roman" w:cs="Times New Roman"/>
          <w:iCs/>
          <w:sz w:val="24"/>
          <w:szCs w:val="24"/>
        </w:rPr>
        <w:t>ESt</w:t>
      </w:r>
      <w:proofErr w:type="spellEnd"/>
      <w:r w:rsidRPr="00C148DF">
        <w:rPr>
          <w:rFonts w:ascii="Times New Roman" w:hAnsi="Times New Roman" w:cs="Times New Roman"/>
          <w:iCs/>
          <w:sz w:val="24"/>
          <w:szCs w:val="24"/>
        </w:rPr>
        <w:t xml:space="preserve"> Rimavská Sobota, </w:t>
      </w:r>
    </w:p>
    <w:p w14:paraId="1F13847D" w14:textId="77777777" w:rsidR="00B27340" w:rsidRPr="00C148DF" w:rsidRDefault="00B27340" w:rsidP="00DB5342">
      <w:pPr>
        <w:pStyle w:val="Zkladntext3"/>
        <w:numPr>
          <w:ilvl w:val="0"/>
          <w:numId w:val="7"/>
        </w:numPr>
        <w:autoSpaceDE w:val="0"/>
        <w:autoSpaceDN w:val="0"/>
        <w:adjustRightInd w:val="0"/>
        <w:spacing w:after="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výmena T401 v </w:t>
      </w:r>
      <w:proofErr w:type="spellStart"/>
      <w:r w:rsidRPr="00C148DF">
        <w:rPr>
          <w:rFonts w:ascii="Times New Roman" w:hAnsi="Times New Roman" w:cs="Times New Roman"/>
          <w:iCs/>
          <w:sz w:val="24"/>
          <w:szCs w:val="24"/>
        </w:rPr>
        <w:t>ESt</w:t>
      </w:r>
      <w:proofErr w:type="spellEnd"/>
      <w:r w:rsidRPr="00C148DF">
        <w:rPr>
          <w:rFonts w:ascii="Times New Roman" w:hAnsi="Times New Roman" w:cs="Times New Roman"/>
          <w:iCs/>
          <w:sz w:val="24"/>
          <w:szCs w:val="24"/>
        </w:rPr>
        <w:t xml:space="preserve"> Varín,</w:t>
      </w:r>
    </w:p>
    <w:p w14:paraId="4ACE838E" w14:textId="77777777" w:rsidR="00B27340" w:rsidRPr="00C148DF" w:rsidRDefault="00B27340" w:rsidP="00DB5342">
      <w:pPr>
        <w:pStyle w:val="Zkladntext3"/>
        <w:numPr>
          <w:ilvl w:val="0"/>
          <w:numId w:val="7"/>
        </w:numPr>
        <w:autoSpaceDE w:val="0"/>
        <w:autoSpaceDN w:val="0"/>
        <w:adjustRightInd w:val="0"/>
        <w:spacing w:after="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výmena T401 v </w:t>
      </w:r>
      <w:proofErr w:type="spellStart"/>
      <w:r w:rsidRPr="00C148DF">
        <w:rPr>
          <w:rFonts w:ascii="Times New Roman" w:hAnsi="Times New Roman" w:cs="Times New Roman"/>
          <w:iCs/>
          <w:sz w:val="24"/>
          <w:szCs w:val="24"/>
        </w:rPr>
        <w:t>ESt</w:t>
      </w:r>
      <w:proofErr w:type="spellEnd"/>
      <w:r w:rsidRPr="00C148DF">
        <w:rPr>
          <w:rFonts w:ascii="Times New Roman" w:hAnsi="Times New Roman" w:cs="Times New Roman"/>
          <w:iCs/>
          <w:sz w:val="24"/>
          <w:szCs w:val="24"/>
        </w:rPr>
        <w:t xml:space="preserve"> Križovany.</w:t>
      </w:r>
    </w:p>
    <w:p w14:paraId="6F99B7BF" w14:textId="77777777" w:rsidR="00B27340" w:rsidRPr="00DB5342" w:rsidRDefault="00B27340" w:rsidP="005F0557">
      <w:pPr>
        <w:pStyle w:val="Nadpis2"/>
        <w:numPr>
          <w:ilvl w:val="1"/>
          <w:numId w:val="12"/>
        </w:numPr>
        <w:spacing w:before="240" w:after="120" w:line="259" w:lineRule="auto"/>
        <w:ind w:left="578" w:hanging="578"/>
        <w:jc w:val="both"/>
        <w:rPr>
          <w:rFonts w:ascii="Times New Roman" w:hAnsi="Times New Roman" w:cs="Times New Roman"/>
          <w:b/>
          <w:color w:val="000000" w:themeColor="text1"/>
          <w:sz w:val="24"/>
          <w:szCs w:val="24"/>
        </w:rPr>
      </w:pPr>
      <w:bookmarkStart w:id="18" w:name="_Toc46594173"/>
      <w:r w:rsidRPr="00DB5342">
        <w:rPr>
          <w:rFonts w:ascii="Times New Roman" w:hAnsi="Times New Roman" w:cs="Times New Roman"/>
          <w:b/>
          <w:color w:val="000000" w:themeColor="text1"/>
          <w:sz w:val="24"/>
          <w:szCs w:val="24"/>
        </w:rPr>
        <w:t>Cezhraničné investičné zámery prevádzkovateľa PS</w:t>
      </w:r>
      <w:bookmarkEnd w:id="18"/>
    </w:p>
    <w:p w14:paraId="772B206E"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Prioritnými cezhraničnými projektmi, ktoré SEPS v súčasnosti realizuje, sú projekty výstavby prenosových vedení do Maďarska, ktoré majú aj štatút projektov spoločného významu. Ide o vedenie 2x400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Gabčíkovo (SK) – </w:t>
      </w:r>
      <w:proofErr w:type="spellStart"/>
      <w:r w:rsidRPr="00C148DF">
        <w:rPr>
          <w:rFonts w:ascii="Times New Roman" w:hAnsi="Times New Roman" w:cs="Times New Roman"/>
          <w:sz w:val="24"/>
          <w:szCs w:val="24"/>
        </w:rPr>
        <w:t>Gönyű</w:t>
      </w:r>
      <w:proofErr w:type="spellEnd"/>
      <w:r w:rsidRPr="00C148DF">
        <w:rPr>
          <w:rFonts w:ascii="Times New Roman" w:hAnsi="Times New Roman" w:cs="Times New Roman"/>
          <w:sz w:val="24"/>
          <w:szCs w:val="24"/>
        </w:rPr>
        <w:t xml:space="preserve"> (HU) – Veľký Ďur (SK) v trase od mesta Veľký Meder po štátnu hranicu s Maďarskom a vedenie 2x400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Rimavská Sobota (SK) – </w:t>
      </w:r>
      <w:proofErr w:type="spellStart"/>
      <w:r w:rsidRPr="00C148DF">
        <w:rPr>
          <w:rFonts w:ascii="Times New Roman" w:hAnsi="Times New Roman" w:cs="Times New Roman"/>
          <w:sz w:val="24"/>
          <w:szCs w:val="24"/>
        </w:rPr>
        <w:t>Sajóivánka</w:t>
      </w:r>
      <w:proofErr w:type="spellEnd"/>
      <w:r w:rsidRPr="00C148DF">
        <w:rPr>
          <w:rFonts w:ascii="Times New Roman" w:hAnsi="Times New Roman" w:cs="Times New Roman"/>
          <w:sz w:val="24"/>
          <w:szCs w:val="24"/>
        </w:rPr>
        <w:t xml:space="preserve"> (HU) vyzbrojené jedným poťahom s predpokladaným dátumom uvedenia vedení do prevádzky koncom roka 2020. Aktuálny stav uvedených projektov spoločného záujmu je možné sledovať aj na </w:t>
      </w:r>
      <w:hyperlink r:id="rId47" w:history="1">
        <w:r w:rsidRPr="00C148DF">
          <w:rPr>
            <w:rStyle w:val="Hypertextovprepojenie"/>
            <w:rFonts w:ascii="Times New Roman" w:hAnsi="Times New Roman" w:cs="Times New Roman"/>
            <w:iCs/>
            <w:sz w:val="24"/>
            <w:szCs w:val="24"/>
          </w:rPr>
          <w:t>webovom sídle MH SR</w:t>
        </w:r>
      </w:hyperlink>
      <w:r w:rsidRPr="00C148DF">
        <w:rPr>
          <w:rStyle w:val="Odkaznapoznmkupodiarou"/>
          <w:rFonts w:ascii="Times New Roman" w:hAnsi="Times New Roman" w:cs="Times New Roman"/>
          <w:iCs/>
          <w:sz w:val="24"/>
          <w:szCs w:val="24"/>
        </w:rPr>
        <w:footnoteReference w:id="9"/>
      </w:r>
      <w:r w:rsidRPr="00C148DF">
        <w:rPr>
          <w:rFonts w:ascii="Times New Roman" w:hAnsi="Times New Roman" w:cs="Times New Roman"/>
          <w:sz w:val="24"/>
          <w:szCs w:val="24"/>
        </w:rPr>
        <w:t>.</w:t>
      </w:r>
    </w:p>
    <w:p w14:paraId="4C881A84"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 xml:space="preserve">Na českom profile je v období rokov 2024 - 2025 naplánovaná obnova cezhraničného vedenia V404 Varín (SK) – </w:t>
      </w:r>
      <w:proofErr w:type="spellStart"/>
      <w:r w:rsidRPr="00C148DF">
        <w:rPr>
          <w:rFonts w:ascii="Times New Roman" w:hAnsi="Times New Roman" w:cs="Times New Roman"/>
          <w:sz w:val="24"/>
          <w:szCs w:val="24"/>
        </w:rPr>
        <w:t>Nošovice</w:t>
      </w:r>
      <w:proofErr w:type="spellEnd"/>
      <w:r w:rsidRPr="00C148DF">
        <w:rPr>
          <w:rFonts w:ascii="Times New Roman" w:hAnsi="Times New Roman" w:cs="Times New Roman"/>
          <w:sz w:val="24"/>
          <w:szCs w:val="24"/>
        </w:rPr>
        <w:t> (CZ) na strane SEPS. Tento projekt je vo fáze realizácie inžinierskych a projektových činností. Už skôr spomínaná likvidácia prenosovej sústavy na napäťovej hladine 220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sa v budúcnosti dotkne aj existujúcich cezhraničných vedení 220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(V270 P. Bystrica (SK) – </w:t>
      </w:r>
      <w:proofErr w:type="spellStart"/>
      <w:r w:rsidRPr="00C148DF">
        <w:rPr>
          <w:rFonts w:ascii="Times New Roman" w:hAnsi="Times New Roman" w:cs="Times New Roman"/>
          <w:sz w:val="24"/>
          <w:szCs w:val="24"/>
        </w:rPr>
        <w:t>Lískovec</w:t>
      </w:r>
      <w:proofErr w:type="spellEnd"/>
      <w:r w:rsidRPr="00C148DF">
        <w:rPr>
          <w:rFonts w:ascii="Times New Roman" w:hAnsi="Times New Roman" w:cs="Times New Roman"/>
          <w:sz w:val="24"/>
          <w:szCs w:val="24"/>
        </w:rPr>
        <w:t xml:space="preserve"> (CZ) cca v roku 2026 a V280 Senica (SK) – </w:t>
      </w:r>
      <w:proofErr w:type="spellStart"/>
      <w:r w:rsidRPr="00C148DF">
        <w:rPr>
          <w:rFonts w:ascii="Times New Roman" w:hAnsi="Times New Roman" w:cs="Times New Roman"/>
          <w:sz w:val="24"/>
          <w:szCs w:val="24"/>
        </w:rPr>
        <w:t>Sokolnice</w:t>
      </w:r>
      <w:proofErr w:type="spellEnd"/>
      <w:r w:rsidRPr="00C148DF">
        <w:rPr>
          <w:rFonts w:ascii="Times New Roman" w:hAnsi="Times New Roman" w:cs="Times New Roman"/>
          <w:sz w:val="24"/>
          <w:szCs w:val="24"/>
        </w:rPr>
        <w:t xml:space="preserve"> (CZ) cca v roku 2021) na </w:t>
      </w:r>
      <w:proofErr w:type="spellStart"/>
      <w:r w:rsidRPr="00C148DF">
        <w:rPr>
          <w:rFonts w:ascii="Times New Roman" w:hAnsi="Times New Roman" w:cs="Times New Roman"/>
          <w:sz w:val="24"/>
          <w:szCs w:val="24"/>
        </w:rPr>
        <w:t>slovensko</w:t>
      </w:r>
      <w:proofErr w:type="spellEnd"/>
      <w:r w:rsidRPr="00C148DF">
        <w:rPr>
          <w:rFonts w:ascii="Times New Roman" w:hAnsi="Times New Roman" w:cs="Times New Roman"/>
          <w:sz w:val="24"/>
          <w:szCs w:val="24"/>
        </w:rPr>
        <w:t xml:space="preserve"> – českom profile. </w:t>
      </w:r>
    </w:p>
    <w:p w14:paraId="1C6E0BDA" w14:textId="77777777" w:rsidR="00B27340" w:rsidRPr="00C148DF" w:rsidRDefault="00B27340" w:rsidP="00003436">
      <w:pPr>
        <w:jc w:val="both"/>
        <w:rPr>
          <w:rFonts w:ascii="Times New Roman" w:hAnsi="Times New Roman" w:cs="Times New Roman"/>
          <w:iCs/>
          <w:sz w:val="24"/>
          <w:szCs w:val="24"/>
        </w:rPr>
      </w:pPr>
      <w:r w:rsidRPr="00C148DF">
        <w:rPr>
          <w:rFonts w:ascii="Times New Roman" w:hAnsi="Times New Roman" w:cs="Times New Roman"/>
          <w:iCs/>
          <w:sz w:val="24"/>
          <w:szCs w:val="24"/>
        </w:rPr>
        <w:t>Rokovania s rakúskym ani poľským prevádzkovateľmi PS v súčasnosti neprebiehajú, nakoľko sa v strednodobom a ani v dlhodobom horizonte neuvažuje so vzájomným prepojením PS SR a Rakúska, resp. s ďalším prepojením s Poľskom.</w:t>
      </w:r>
    </w:p>
    <w:p w14:paraId="7F2C1DD9" w14:textId="1C38EE4B" w:rsidR="00B27340" w:rsidRPr="00C148DF" w:rsidRDefault="00B27340" w:rsidP="00003436">
      <w:pPr>
        <w:jc w:val="both"/>
        <w:rPr>
          <w:rFonts w:ascii="Times New Roman" w:hAnsi="Times New Roman" w:cs="Times New Roman"/>
          <w:sz w:val="24"/>
          <w:szCs w:val="24"/>
        </w:rPr>
        <w:sectPr w:rsidR="00B27340" w:rsidRPr="00C148DF" w:rsidSect="007A5CEA">
          <w:footerReference w:type="default" r:id="rId48"/>
          <w:pgSz w:w="11906" w:h="16838"/>
          <w:pgMar w:top="1418" w:right="851" w:bottom="1418" w:left="1418" w:header="708" w:footer="708" w:gutter="0"/>
          <w:cols w:space="708"/>
          <w:docGrid w:linePitch="360"/>
        </w:sectPr>
      </w:pPr>
      <w:r w:rsidRPr="00C148DF">
        <w:rPr>
          <w:rFonts w:ascii="Times New Roman" w:hAnsi="Times New Roman" w:cs="Times New Roman"/>
          <w:sz w:val="24"/>
          <w:szCs w:val="24"/>
        </w:rPr>
        <w:t>Slovensko – ukrajinský cezhraničný profil predstavuje často úzke miesto (spolu s profilom do Maďarska) pri cezhraničných prenosoch elektriny a spôsobuje prevádzkové problémy a problémy s riadením aj elektroenergetickému dispečingu SR. Preto sa prevádzkovatelia PS SR a Ukrajiny dohodli na obnove jestvujúceho cezhraničného vedenia (1x400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V440 Veľké Kapušany (SK) – </w:t>
      </w:r>
      <w:proofErr w:type="spellStart"/>
      <w:r w:rsidRPr="00C148DF">
        <w:rPr>
          <w:rFonts w:ascii="Times New Roman" w:hAnsi="Times New Roman" w:cs="Times New Roman"/>
          <w:sz w:val="24"/>
          <w:szCs w:val="24"/>
        </w:rPr>
        <w:t>Mukačevo</w:t>
      </w:r>
      <w:proofErr w:type="spellEnd"/>
      <w:r w:rsidRPr="00C148DF">
        <w:rPr>
          <w:rFonts w:ascii="Times New Roman" w:hAnsi="Times New Roman" w:cs="Times New Roman"/>
          <w:sz w:val="24"/>
          <w:szCs w:val="24"/>
        </w:rPr>
        <w:t xml:space="preserve"> (UA). Tento projekt s názvom „Obnova 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vedenia </w:t>
      </w:r>
      <w:proofErr w:type="spellStart"/>
      <w:r w:rsidRPr="00C148DF">
        <w:rPr>
          <w:rFonts w:ascii="Times New Roman" w:hAnsi="Times New Roman" w:cs="Times New Roman"/>
          <w:sz w:val="24"/>
          <w:szCs w:val="24"/>
        </w:rPr>
        <w:t>Mukačevo</w:t>
      </w:r>
      <w:proofErr w:type="spellEnd"/>
      <w:r w:rsidRPr="00C148DF">
        <w:rPr>
          <w:rFonts w:ascii="Times New Roman" w:hAnsi="Times New Roman" w:cs="Times New Roman"/>
          <w:sz w:val="24"/>
          <w:szCs w:val="24"/>
        </w:rPr>
        <w:t xml:space="preserve"> (UA) – Veľké Kapušany (SK)“ bol zaradený do posledného zoznamu PECI / PMI projektov v rámci tzv. </w:t>
      </w:r>
      <w:proofErr w:type="spellStart"/>
      <w:r w:rsidRPr="00C148DF">
        <w:rPr>
          <w:rFonts w:ascii="Times New Roman" w:hAnsi="Times New Roman" w:cs="Times New Roman"/>
          <w:sz w:val="24"/>
          <w:szCs w:val="24"/>
        </w:rPr>
        <w:t>Energy</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Community</w:t>
      </w:r>
      <w:proofErr w:type="spellEnd"/>
      <w:r w:rsidRPr="00C148DF">
        <w:rPr>
          <w:rStyle w:val="Odkaznapoznmkupodiarou"/>
          <w:rFonts w:ascii="Times New Roman" w:hAnsi="Times New Roman" w:cs="Times New Roman"/>
          <w:sz w:val="24"/>
          <w:szCs w:val="24"/>
        </w:rPr>
        <w:footnoteReference w:id="10"/>
      </w:r>
      <w:r w:rsidRPr="00C148DF">
        <w:rPr>
          <w:rFonts w:ascii="Times New Roman" w:hAnsi="Times New Roman" w:cs="Times New Roman"/>
          <w:sz w:val="24"/>
          <w:szCs w:val="24"/>
        </w:rPr>
        <w:t xml:space="preserve">. Z dôvodu zlého technického stavu vedenia V440 na území Ukrajiny však plánuje ukrajinský PPS v koridore existujúceho vedenia V440 výstavbu nového 2x400 </w:t>
      </w:r>
      <w:proofErr w:type="spellStart"/>
      <w:r w:rsidRPr="00C148DF">
        <w:rPr>
          <w:rFonts w:ascii="Times New Roman" w:hAnsi="Times New Roman" w:cs="Times New Roman"/>
          <w:sz w:val="24"/>
          <w:szCs w:val="24"/>
        </w:rPr>
        <w:t>kV</w:t>
      </w:r>
      <w:proofErr w:type="spellEnd"/>
      <w:r w:rsidRPr="00C148DF">
        <w:rPr>
          <w:rFonts w:ascii="Times New Roman" w:hAnsi="Times New Roman" w:cs="Times New Roman"/>
          <w:sz w:val="24"/>
          <w:szCs w:val="24"/>
        </w:rPr>
        <w:t xml:space="preserve"> vedenia, predbežne vyzbrojeného jedným poťahom. Chce tak obnoviť existujúce vedenie na svojej strane už do roku 2023. Finálne technické riešenie a rozsah obnovy vedenia V440, ako aj prípadné úpravy v časovom harmonograme obnovy, sa </w:t>
      </w:r>
      <w:proofErr w:type="spellStart"/>
      <w:r w:rsidRPr="00C148DF">
        <w:rPr>
          <w:rFonts w:ascii="Times New Roman" w:hAnsi="Times New Roman" w:cs="Times New Roman"/>
          <w:sz w:val="24"/>
          <w:szCs w:val="24"/>
        </w:rPr>
        <w:t>upresnia</w:t>
      </w:r>
      <w:proofErr w:type="spellEnd"/>
      <w:r w:rsidRPr="00C148DF">
        <w:rPr>
          <w:rFonts w:ascii="Times New Roman" w:hAnsi="Times New Roman" w:cs="Times New Roman"/>
          <w:sz w:val="24"/>
          <w:szCs w:val="24"/>
        </w:rPr>
        <w:t xml:space="preserve"> na základe výsledkov spoločnej štúdie PPS SR a Ukrajiny, predbežne v roku 2023. Predpokladaný termín obnovy vedenia na území SR a prípadných úprav na novom vedení na území UA (dozbrojenie vedenia druhým poťahom) je rok 2030. </w:t>
      </w:r>
    </w:p>
    <w:p w14:paraId="5A820112" w14:textId="77777777" w:rsidR="00B27340" w:rsidRPr="00C148DF" w:rsidRDefault="00B27340" w:rsidP="00003436">
      <w:pPr>
        <w:pStyle w:val="Nadpis1"/>
        <w:keepLines/>
        <w:numPr>
          <w:ilvl w:val="0"/>
          <w:numId w:val="12"/>
        </w:numPr>
        <w:spacing w:before="240" w:after="120" w:line="259" w:lineRule="auto"/>
        <w:ind w:left="431" w:hanging="431"/>
        <w:jc w:val="left"/>
        <w:rPr>
          <w:sz w:val="24"/>
          <w:szCs w:val="24"/>
        </w:rPr>
      </w:pPr>
      <w:bookmarkStart w:id="19" w:name="_Toc46594174"/>
      <w:r w:rsidRPr="00C148DF">
        <w:rPr>
          <w:sz w:val="24"/>
          <w:szCs w:val="24"/>
        </w:rPr>
        <w:lastRenderedPageBreak/>
        <w:t>Bezpečnosť a spoľahlivosť prevádzky ES SR, opatrenia na riešenie preťažení</w:t>
      </w:r>
      <w:bookmarkEnd w:id="19"/>
    </w:p>
    <w:p w14:paraId="486FF751"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Vo všetkých etapách prípravy prevádzky sa navrhujú vhodné riešenia prevádzky ES SR a vytvára sa potrebný priestor pre údržbu, inováciu a výstavbu elektroenergetických zariadení na zabezpečenie dlhodobo spoľahlivého, bezpečného a účinného prevádzkovania sústavy za hospodárnych podmienok. Pre riešenie stavov núdze, alebo na predchádzanie týchto stavov, má prevádzkovateľ PS vypracovaný plán obrany na predchádzanie vzniku závažných porúch, opatrenia pri havarijných zmenách frekvencie a napätia, ako aj plán obnovy sústavy po vzniku poruchy typu „</w:t>
      </w:r>
      <w:proofErr w:type="spellStart"/>
      <w:r w:rsidRPr="00C148DF">
        <w:rPr>
          <w:rFonts w:ascii="Times New Roman" w:hAnsi="Times New Roman" w:cs="Times New Roman"/>
          <w:sz w:val="24"/>
          <w:szCs w:val="24"/>
        </w:rPr>
        <w:t>black-out</w:t>
      </w:r>
      <w:proofErr w:type="spellEnd"/>
      <w:r w:rsidRPr="00C148DF">
        <w:rPr>
          <w:rFonts w:ascii="Times New Roman" w:hAnsi="Times New Roman" w:cs="Times New Roman"/>
          <w:sz w:val="24"/>
          <w:szCs w:val="24"/>
        </w:rPr>
        <w:t>“. Bezpečná a spoľahlivá prevádzka a plnenie požiadaviek na prenos elektriny je kontrolovaná v každej etape prípravy prevádzky (ročná, mesačná, týždenná a denná). Vypínanie zariadení PS sa vykonáva v koordinácii so susednými prevádzkovateľmi PS v rámci všetkých etáp prípravy prevádzky. Základným hodnotiacim kritériom sledovaným vo všetkých etapách prípravy prevádzky je bezpečnostné kritérium N-1.</w:t>
      </w:r>
    </w:p>
    <w:p w14:paraId="0A6FA7DC"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Ak dôjde v sústave pri jej prevádzke k takým zmenám, ktoré vyvolajú náhle preťaženie niektorého z prvkov v prenose elektriny (zaťaženie prvku nad normou stanovenú hodnotu), prevádzkovateľ PS s cieľom odstrániť preťaženie v zmysle § 21 Vyhlášky ÚRSO č. 24/2013 Z. z. novelizovanou Vyhláškami ÚRSO č. 423/2013 Z. z. a č. 371/2016:</w:t>
      </w:r>
    </w:p>
    <w:p w14:paraId="788756B2" w14:textId="77777777" w:rsidR="00B27340" w:rsidRPr="00C148DF" w:rsidRDefault="00B27340" w:rsidP="005F0557">
      <w:pPr>
        <w:pStyle w:val="Zkladntext3"/>
        <w:numPr>
          <w:ilvl w:val="0"/>
          <w:numId w:val="1"/>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aktivuje nakúpené podporné služby,</w:t>
      </w:r>
    </w:p>
    <w:p w14:paraId="7B15D835" w14:textId="77777777" w:rsidR="00B27340" w:rsidRPr="00C148DF" w:rsidRDefault="00B27340" w:rsidP="005F0557">
      <w:pPr>
        <w:pStyle w:val="Zkladntext3"/>
        <w:numPr>
          <w:ilvl w:val="0"/>
          <w:numId w:val="1"/>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využije zmluvne dohodnuté havarijné rezervy,</w:t>
      </w:r>
    </w:p>
    <w:p w14:paraId="10145887" w14:textId="77777777" w:rsidR="00B27340" w:rsidRPr="00C148DF" w:rsidRDefault="00B27340" w:rsidP="005F0557">
      <w:pPr>
        <w:pStyle w:val="Zkladntext3"/>
        <w:numPr>
          <w:ilvl w:val="0"/>
          <w:numId w:val="1"/>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zmení zapojenie elektroenergetických zariadení v prenosovej a distribučnej sústave.</w:t>
      </w:r>
    </w:p>
    <w:p w14:paraId="7794DC7A" w14:textId="77777777" w:rsidR="00B27340" w:rsidRPr="00C148DF" w:rsidRDefault="00B27340" w:rsidP="00DB5342">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Na predchádzanie preťažení zariadení PS sa priebežne podľa potreby vykonáva výpočet ustáleného chodu siete s údajmi vlastnej elektrizačnej sústavy, ako aj s údajmi ostatných sústav v ENTSO-E.</w:t>
      </w:r>
    </w:p>
    <w:p w14:paraId="24DB1F52" w14:textId="77777777" w:rsidR="00B27340" w:rsidRPr="00C148DF" w:rsidRDefault="00B27340" w:rsidP="00DB5342">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Otázke bezpečnosti a spoľahlivosti je venovaná zo strany prevádzkovateľa PS vysoká pozornosť. Pre jej zaistenie sú v rámci ES SR vykonávané:</w:t>
      </w:r>
    </w:p>
    <w:p w14:paraId="054D4EF4" w14:textId="77777777" w:rsidR="00B27340" w:rsidRPr="00C148DF" w:rsidRDefault="00B27340" w:rsidP="005F0557">
      <w:pPr>
        <w:pStyle w:val="Zkladntext3"/>
        <w:numPr>
          <w:ilvl w:val="0"/>
          <w:numId w:val="2"/>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b/>
          <w:iCs/>
          <w:sz w:val="24"/>
          <w:szCs w:val="24"/>
        </w:rPr>
        <w:t>preventívne opatrenia</w:t>
      </w:r>
      <w:r w:rsidRPr="00C148DF">
        <w:rPr>
          <w:rFonts w:ascii="Times New Roman" w:hAnsi="Times New Roman" w:cs="Times New Roman"/>
          <w:iCs/>
          <w:sz w:val="24"/>
          <w:szCs w:val="24"/>
        </w:rPr>
        <w:t xml:space="preserve"> – analýza výsledkov výpočtov chodu siete, výpočtov skratových pomerov, nastavenie ochrán, optimalizácia vypínacieho plánu, pravidelná údržba prenosových zariadení a spracovanie opatrení na riešenie havarijných situácií. Ďalej sú to opatrenia v oblasti prípravy prevádzky a opatrenia v oblasti optimalizácie údržby a rozvoja PS,</w:t>
      </w:r>
    </w:p>
    <w:p w14:paraId="01DAA908" w14:textId="77777777" w:rsidR="00B27340" w:rsidRPr="00C148DF" w:rsidRDefault="00B27340" w:rsidP="005F0557">
      <w:pPr>
        <w:pStyle w:val="Zkladntext3"/>
        <w:numPr>
          <w:ilvl w:val="0"/>
          <w:numId w:val="2"/>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b/>
          <w:iCs/>
          <w:sz w:val="24"/>
          <w:szCs w:val="24"/>
        </w:rPr>
        <w:t>dispečerské opatrenia</w:t>
      </w:r>
      <w:r w:rsidRPr="00C148DF">
        <w:rPr>
          <w:rFonts w:ascii="Times New Roman" w:hAnsi="Times New Roman" w:cs="Times New Roman"/>
          <w:iCs/>
          <w:sz w:val="24"/>
          <w:szCs w:val="24"/>
        </w:rPr>
        <w:t xml:space="preserve"> – havarijná výpomoc, prerušenie prác na zariadeniach PS v koordinácii s prevádzkovateľmi distribučných sústav (PDS), využívanie </w:t>
      </w:r>
      <w:proofErr w:type="spellStart"/>
      <w:r w:rsidRPr="00C148DF">
        <w:rPr>
          <w:rFonts w:ascii="Times New Roman" w:hAnsi="Times New Roman" w:cs="Times New Roman"/>
          <w:iCs/>
          <w:sz w:val="24"/>
          <w:szCs w:val="24"/>
        </w:rPr>
        <w:t>PpS</w:t>
      </w:r>
      <w:proofErr w:type="spellEnd"/>
      <w:r w:rsidRPr="00C148DF">
        <w:rPr>
          <w:rFonts w:ascii="Times New Roman" w:hAnsi="Times New Roman" w:cs="Times New Roman"/>
          <w:iCs/>
          <w:sz w:val="24"/>
          <w:szCs w:val="24"/>
        </w:rPr>
        <w:t xml:space="preserve"> a systémových služieb, využitie opatrení pre riešenie havarijných situácií, </w:t>
      </w:r>
      <w:proofErr w:type="spellStart"/>
      <w:r w:rsidRPr="00C148DF">
        <w:rPr>
          <w:rFonts w:ascii="Times New Roman" w:hAnsi="Times New Roman" w:cs="Times New Roman"/>
          <w:iCs/>
          <w:sz w:val="24"/>
          <w:szCs w:val="24"/>
        </w:rPr>
        <w:t>rekonfigurácia</w:t>
      </w:r>
      <w:proofErr w:type="spellEnd"/>
      <w:r w:rsidRPr="00C148DF">
        <w:rPr>
          <w:rFonts w:ascii="Times New Roman" w:hAnsi="Times New Roman" w:cs="Times New Roman"/>
          <w:iCs/>
          <w:sz w:val="24"/>
          <w:szCs w:val="24"/>
        </w:rPr>
        <w:t xml:space="preserve"> PS,</w:t>
      </w:r>
    </w:p>
    <w:p w14:paraId="3C9348D6" w14:textId="77777777" w:rsidR="00B27340" w:rsidRPr="00C148DF" w:rsidRDefault="00B27340" w:rsidP="005F0557">
      <w:pPr>
        <w:pStyle w:val="Zkladntext3"/>
        <w:numPr>
          <w:ilvl w:val="0"/>
          <w:numId w:val="2"/>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b/>
          <w:iCs/>
          <w:sz w:val="24"/>
          <w:szCs w:val="24"/>
        </w:rPr>
        <w:t>technické opatrenia</w:t>
      </w:r>
      <w:r w:rsidRPr="00C148DF">
        <w:rPr>
          <w:rFonts w:ascii="Times New Roman" w:hAnsi="Times New Roman" w:cs="Times New Roman"/>
          <w:iCs/>
          <w:sz w:val="24"/>
          <w:szCs w:val="24"/>
        </w:rPr>
        <w:t xml:space="preserve"> – nastavenie pôsobenia ochrán, využívanie </w:t>
      </w:r>
      <w:proofErr w:type="spellStart"/>
      <w:r w:rsidRPr="00C148DF">
        <w:rPr>
          <w:rFonts w:ascii="Times New Roman" w:hAnsi="Times New Roman" w:cs="Times New Roman"/>
          <w:iCs/>
          <w:sz w:val="24"/>
          <w:szCs w:val="24"/>
        </w:rPr>
        <w:t>PpS</w:t>
      </w:r>
      <w:proofErr w:type="spellEnd"/>
      <w:r w:rsidRPr="00C148DF">
        <w:rPr>
          <w:rFonts w:ascii="Times New Roman" w:hAnsi="Times New Roman" w:cs="Times New Roman"/>
          <w:iCs/>
          <w:sz w:val="24"/>
          <w:szCs w:val="24"/>
        </w:rPr>
        <w:t>, pôsobenie frekvenčných automatík a automatickej regulácie napätia,</w:t>
      </w:r>
    </w:p>
    <w:p w14:paraId="795E04AB" w14:textId="77777777" w:rsidR="00B27340" w:rsidRPr="00C148DF" w:rsidRDefault="00B27340" w:rsidP="005F0557">
      <w:pPr>
        <w:pStyle w:val="Zkladntext3"/>
        <w:numPr>
          <w:ilvl w:val="0"/>
          <w:numId w:val="2"/>
        </w:numPr>
        <w:autoSpaceDE w:val="0"/>
        <w:autoSpaceDN w:val="0"/>
        <w:adjustRightInd w:val="0"/>
        <w:spacing w:line="259" w:lineRule="auto"/>
        <w:jc w:val="both"/>
        <w:rPr>
          <w:rFonts w:ascii="Times New Roman" w:hAnsi="Times New Roman" w:cs="Times New Roman"/>
          <w:b/>
          <w:iCs/>
          <w:sz w:val="24"/>
          <w:szCs w:val="24"/>
        </w:rPr>
      </w:pPr>
      <w:r w:rsidRPr="00C148DF">
        <w:rPr>
          <w:rFonts w:ascii="Times New Roman" w:hAnsi="Times New Roman" w:cs="Times New Roman"/>
          <w:b/>
          <w:iCs/>
          <w:sz w:val="24"/>
          <w:szCs w:val="24"/>
        </w:rPr>
        <w:t xml:space="preserve">opatrenia plánu obrany </w:t>
      </w:r>
      <w:r w:rsidRPr="00C148DF">
        <w:rPr>
          <w:rFonts w:ascii="Times New Roman" w:hAnsi="Times New Roman" w:cs="Times New Roman"/>
          <w:iCs/>
          <w:sz w:val="24"/>
          <w:szCs w:val="24"/>
        </w:rPr>
        <w:t>- technické a organizačné opatrenia prijímané na zabránenie šíreniu alebo zhoršeniu poruchy v prenosovej sústave s cieľom zamedziť rozsiahlemu poruchovému stavu a stavu bez napätia.</w:t>
      </w:r>
    </w:p>
    <w:p w14:paraId="26E61D8B" w14:textId="77777777" w:rsidR="00B27340" w:rsidRPr="00C148DF" w:rsidRDefault="00B27340" w:rsidP="00DB5342">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Okrem spomínaných opatrení sú v zmysle legislatívy pri stave núdze v </w:t>
      </w:r>
      <w:proofErr w:type="spellStart"/>
      <w:r w:rsidRPr="00C148DF">
        <w:rPr>
          <w:rFonts w:ascii="Times New Roman" w:hAnsi="Times New Roman" w:cs="Times New Roman"/>
          <w:iCs/>
          <w:sz w:val="24"/>
          <w:szCs w:val="24"/>
        </w:rPr>
        <w:t>elektroenergetike</w:t>
      </w:r>
      <w:proofErr w:type="spellEnd"/>
      <w:r w:rsidRPr="00C148DF">
        <w:rPr>
          <w:rFonts w:ascii="Times New Roman" w:hAnsi="Times New Roman" w:cs="Times New Roman"/>
          <w:iCs/>
          <w:sz w:val="24"/>
          <w:szCs w:val="24"/>
        </w:rPr>
        <w:t xml:space="preserve"> a pri predchádzaní stavu núdze v </w:t>
      </w:r>
      <w:proofErr w:type="spellStart"/>
      <w:r w:rsidRPr="00C148DF">
        <w:rPr>
          <w:rFonts w:ascii="Times New Roman" w:hAnsi="Times New Roman" w:cs="Times New Roman"/>
          <w:iCs/>
          <w:sz w:val="24"/>
          <w:szCs w:val="24"/>
        </w:rPr>
        <w:t>elektroenergetike</w:t>
      </w:r>
      <w:proofErr w:type="spellEnd"/>
      <w:r w:rsidRPr="00C148DF">
        <w:rPr>
          <w:rFonts w:ascii="Times New Roman" w:hAnsi="Times New Roman" w:cs="Times New Roman"/>
          <w:iCs/>
          <w:sz w:val="24"/>
          <w:szCs w:val="24"/>
        </w:rPr>
        <w:t xml:space="preserve"> a jeho odstránení stanovené obmedzujúce opatrenia:</w:t>
      </w:r>
    </w:p>
    <w:p w14:paraId="650815EA" w14:textId="77777777" w:rsidR="00B27340" w:rsidRPr="00C148DF" w:rsidRDefault="00B27340" w:rsidP="00DB5342">
      <w:pPr>
        <w:pStyle w:val="Zkladntext3"/>
        <w:numPr>
          <w:ilvl w:val="0"/>
          <w:numId w:val="14"/>
        </w:numPr>
        <w:autoSpaceDE w:val="0"/>
        <w:autoSpaceDN w:val="0"/>
        <w:adjustRightInd w:val="0"/>
        <w:spacing w:afterLines="80" w:after="192"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lastRenderedPageBreak/>
        <w:t xml:space="preserve">obmedzenie spotreby elektriny, </w:t>
      </w:r>
    </w:p>
    <w:p w14:paraId="023DA999" w14:textId="77777777" w:rsidR="00B27340" w:rsidRPr="00C148DF" w:rsidRDefault="00B27340" w:rsidP="00DB5342">
      <w:pPr>
        <w:pStyle w:val="Zkladntext3"/>
        <w:numPr>
          <w:ilvl w:val="0"/>
          <w:numId w:val="14"/>
        </w:numPr>
        <w:autoSpaceDE w:val="0"/>
        <w:autoSpaceDN w:val="0"/>
        <w:adjustRightInd w:val="0"/>
        <w:spacing w:afterLines="80" w:after="192"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 xml:space="preserve">prerušenie distribúcie elektriny, </w:t>
      </w:r>
    </w:p>
    <w:p w14:paraId="12A0022A" w14:textId="77777777" w:rsidR="00B27340" w:rsidRPr="00C148DF" w:rsidRDefault="00B27340" w:rsidP="00DB5342">
      <w:pPr>
        <w:pStyle w:val="Zkladntext3"/>
        <w:numPr>
          <w:ilvl w:val="0"/>
          <w:numId w:val="14"/>
        </w:numPr>
        <w:autoSpaceDE w:val="0"/>
        <w:autoSpaceDN w:val="0"/>
        <w:adjustRightInd w:val="0"/>
        <w:spacing w:afterLines="80" w:after="192"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 xml:space="preserve">zmena hodnoty výkonu dodávaného výrobcom elektriny do sústavy, </w:t>
      </w:r>
    </w:p>
    <w:p w14:paraId="1F7FC5DA" w14:textId="77777777" w:rsidR="00B27340" w:rsidRPr="00C148DF" w:rsidRDefault="00B27340" w:rsidP="00DB5342">
      <w:pPr>
        <w:pStyle w:val="Zkladntext3"/>
        <w:numPr>
          <w:ilvl w:val="0"/>
          <w:numId w:val="14"/>
        </w:numPr>
        <w:autoSpaceDE w:val="0"/>
        <w:autoSpaceDN w:val="0"/>
        <w:adjustRightInd w:val="0"/>
        <w:spacing w:afterLines="80" w:after="192"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 xml:space="preserve">použitie voľných výrobných kapacít, </w:t>
      </w:r>
    </w:p>
    <w:p w14:paraId="03D5F658" w14:textId="77777777" w:rsidR="00B27340" w:rsidRPr="00C148DF" w:rsidRDefault="00B27340" w:rsidP="00DB5342">
      <w:pPr>
        <w:pStyle w:val="Zkladntext3"/>
        <w:numPr>
          <w:ilvl w:val="0"/>
          <w:numId w:val="14"/>
        </w:numPr>
        <w:autoSpaceDE w:val="0"/>
        <w:autoSpaceDN w:val="0"/>
        <w:adjustRightInd w:val="0"/>
        <w:spacing w:afterLines="80" w:after="192"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 xml:space="preserve">operatívne vypnutie časti zariadenia v rozsahu nevyhnutnom na vyrovnanie výkonovej bilancie dotknutej časti sústavy, </w:t>
      </w:r>
    </w:p>
    <w:p w14:paraId="42583FA5" w14:textId="77777777" w:rsidR="00B27340" w:rsidRPr="00C148DF" w:rsidRDefault="00B27340" w:rsidP="00DB5342">
      <w:pPr>
        <w:pStyle w:val="Zkladntext3"/>
        <w:numPr>
          <w:ilvl w:val="0"/>
          <w:numId w:val="14"/>
        </w:numPr>
        <w:autoSpaceDE w:val="0"/>
        <w:autoSpaceDN w:val="0"/>
        <w:adjustRightInd w:val="0"/>
        <w:spacing w:afterLines="80" w:after="192"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opatrenia pre obnovu prenosu a distribúcie elektriny.</w:t>
      </w:r>
    </w:p>
    <w:p w14:paraId="4E8E8730" w14:textId="77777777" w:rsidR="00B27340" w:rsidRPr="00C148DF" w:rsidRDefault="00B27340" w:rsidP="00DB5342">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 xml:space="preserve">Vyhláška MH SR č. 416/2012 </w:t>
      </w:r>
      <w:proofErr w:type="spellStart"/>
      <w:r w:rsidRPr="00C148DF">
        <w:rPr>
          <w:rFonts w:ascii="Times New Roman" w:hAnsi="Times New Roman" w:cs="Times New Roman"/>
          <w:iCs/>
          <w:sz w:val="24"/>
          <w:szCs w:val="24"/>
        </w:rPr>
        <w:t>Z.z</w:t>
      </w:r>
      <w:proofErr w:type="spellEnd"/>
      <w:r w:rsidRPr="00C148DF">
        <w:rPr>
          <w:rFonts w:ascii="Times New Roman" w:hAnsi="Times New Roman" w:cs="Times New Roman"/>
          <w:iCs/>
          <w:sz w:val="24"/>
          <w:szCs w:val="24"/>
        </w:rPr>
        <w:t>. o obmedzujúcich opatreniach následne špecifikuje prípravu obmedzujúcich opatrení, ktoré sú každoročne z úrovne dispečingu PPS aktualizované:</w:t>
      </w:r>
    </w:p>
    <w:p w14:paraId="4CE52C01" w14:textId="77777777" w:rsidR="00B27340" w:rsidRPr="00C148DF" w:rsidRDefault="00B27340" w:rsidP="00DB5342">
      <w:pPr>
        <w:pStyle w:val="Zkladntext3"/>
        <w:numPr>
          <w:ilvl w:val="0"/>
          <w:numId w:val="3"/>
        </w:numPr>
        <w:autoSpaceDE w:val="0"/>
        <w:autoSpaceDN w:val="0"/>
        <w:adjustRightInd w:val="0"/>
        <w:spacing w:after="80" w:line="259" w:lineRule="auto"/>
        <w:ind w:left="1060" w:hanging="703"/>
        <w:jc w:val="both"/>
        <w:rPr>
          <w:rFonts w:ascii="Times New Roman" w:hAnsi="Times New Roman" w:cs="Times New Roman"/>
          <w:iCs/>
          <w:sz w:val="24"/>
          <w:szCs w:val="24"/>
        </w:rPr>
      </w:pPr>
      <w:r w:rsidRPr="00C148DF">
        <w:rPr>
          <w:rFonts w:ascii="Times New Roman" w:hAnsi="Times New Roman" w:cs="Times New Roman"/>
          <w:iCs/>
          <w:sz w:val="24"/>
          <w:szCs w:val="24"/>
        </w:rPr>
        <w:t>plán obmedzovania spotreby,</w:t>
      </w:r>
    </w:p>
    <w:p w14:paraId="0ED60DF7" w14:textId="77777777" w:rsidR="00B27340" w:rsidRPr="00C148DF" w:rsidRDefault="00B27340" w:rsidP="00DB5342">
      <w:pPr>
        <w:pStyle w:val="Zkladntext3"/>
        <w:numPr>
          <w:ilvl w:val="0"/>
          <w:numId w:val="3"/>
        </w:numPr>
        <w:autoSpaceDE w:val="0"/>
        <w:autoSpaceDN w:val="0"/>
        <w:adjustRightInd w:val="0"/>
        <w:spacing w:after="80" w:line="259" w:lineRule="auto"/>
        <w:ind w:left="1060" w:hanging="703"/>
        <w:jc w:val="both"/>
        <w:rPr>
          <w:rFonts w:ascii="Times New Roman" w:hAnsi="Times New Roman" w:cs="Times New Roman"/>
          <w:iCs/>
          <w:sz w:val="24"/>
          <w:szCs w:val="24"/>
        </w:rPr>
      </w:pPr>
      <w:r w:rsidRPr="00C148DF">
        <w:rPr>
          <w:rFonts w:ascii="Times New Roman" w:hAnsi="Times New Roman" w:cs="Times New Roman"/>
          <w:iCs/>
          <w:sz w:val="24"/>
          <w:szCs w:val="24"/>
        </w:rPr>
        <w:t>havarijný vypínací plán,</w:t>
      </w:r>
    </w:p>
    <w:p w14:paraId="44E269EA" w14:textId="77777777" w:rsidR="00B27340" w:rsidRPr="00C148DF" w:rsidRDefault="00B27340" w:rsidP="00DB5342">
      <w:pPr>
        <w:pStyle w:val="Zkladntext3"/>
        <w:numPr>
          <w:ilvl w:val="0"/>
          <w:numId w:val="3"/>
        </w:numPr>
        <w:autoSpaceDE w:val="0"/>
        <w:autoSpaceDN w:val="0"/>
        <w:adjustRightInd w:val="0"/>
        <w:spacing w:after="80" w:line="259" w:lineRule="auto"/>
        <w:ind w:left="1060" w:hanging="703"/>
        <w:jc w:val="both"/>
        <w:rPr>
          <w:rFonts w:ascii="Times New Roman" w:hAnsi="Times New Roman" w:cs="Times New Roman"/>
          <w:iCs/>
          <w:sz w:val="24"/>
          <w:szCs w:val="24"/>
        </w:rPr>
      </w:pPr>
      <w:r w:rsidRPr="00C148DF">
        <w:rPr>
          <w:rFonts w:ascii="Times New Roman" w:hAnsi="Times New Roman" w:cs="Times New Roman"/>
          <w:iCs/>
          <w:sz w:val="24"/>
          <w:szCs w:val="24"/>
        </w:rPr>
        <w:t>frekvenčný vypínací plán.</w:t>
      </w:r>
    </w:p>
    <w:p w14:paraId="3D05FDCA" w14:textId="13A60BB4" w:rsidR="00B27340" w:rsidRPr="00C148DF" w:rsidRDefault="00DB5342" w:rsidP="00003436">
      <w:pPr>
        <w:jc w:val="both"/>
        <w:rPr>
          <w:rFonts w:ascii="Times New Roman" w:hAnsi="Times New Roman" w:cs="Times New Roman"/>
          <w:sz w:val="24"/>
          <w:szCs w:val="24"/>
        </w:rPr>
      </w:pPr>
      <w:r>
        <w:rPr>
          <w:rFonts w:ascii="Times New Roman" w:hAnsi="Times New Roman" w:cs="Times New Roman"/>
          <w:sz w:val="24"/>
          <w:szCs w:val="24"/>
        </w:rPr>
        <w:br/>
      </w:r>
      <w:r w:rsidR="00B27340" w:rsidRPr="00C148DF">
        <w:rPr>
          <w:rFonts w:ascii="Times New Roman" w:hAnsi="Times New Roman" w:cs="Times New Roman"/>
          <w:sz w:val="24"/>
          <w:szCs w:val="24"/>
        </w:rPr>
        <w:t>Elektroenergetický dispečing prevádzkovateľa PS aktualizuje každoročne plán frekvenčného odľahčovania (frekvenčný vypínací plán) v zmysle štandardov a odporúčaní RG CE ENTSO</w:t>
      </w:r>
      <w:r w:rsidR="00B27340" w:rsidRPr="00C148DF">
        <w:rPr>
          <w:rFonts w:ascii="Times New Roman" w:hAnsi="Times New Roman" w:cs="Times New Roman"/>
          <w:sz w:val="24"/>
          <w:szCs w:val="24"/>
        </w:rPr>
        <w:noBreakHyphen/>
        <w:t xml:space="preserve">E. Automatické odľahčovanie sústavy začína pri poklese frekvencie na 49,0 Hz (1. stupeň). Pri poklese frekvencie pod 49,0 Hz dochádza v intervaloch 300 </w:t>
      </w:r>
      <w:proofErr w:type="spellStart"/>
      <w:r w:rsidR="00B27340" w:rsidRPr="00C148DF">
        <w:rPr>
          <w:rFonts w:ascii="Times New Roman" w:hAnsi="Times New Roman" w:cs="Times New Roman"/>
          <w:sz w:val="24"/>
          <w:szCs w:val="24"/>
        </w:rPr>
        <w:t>mHz</w:t>
      </w:r>
      <w:proofErr w:type="spellEnd"/>
      <w:r w:rsidR="00B27340" w:rsidRPr="00C148DF">
        <w:rPr>
          <w:rFonts w:ascii="Times New Roman" w:hAnsi="Times New Roman" w:cs="Times New Roman"/>
          <w:sz w:val="24"/>
          <w:szCs w:val="24"/>
        </w:rPr>
        <w:t xml:space="preserve"> k postupnému vypínaniu spotreby v sústave. Frekvenčný vypínací plán, uvedený v tab. 5.1, je detailne rozpracovaný v TP SEPS (Dokument O, časť O 2 Plán obrany, kap. 2.1.4.a reflektuje na požiadavky európskej legislatívy a pravidiel prevádzkovania synchrónnej prepojenej sústavy RG CE.</w:t>
      </w:r>
    </w:p>
    <w:p w14:paraId="29E608AC" w14:textId="77777777" w:rsidR="00B27340" w:rsidRPr="00C148DF" w:rsidRDefault="00B27340" w:rsidP="00B27340">
      <w:pPr>
        <w:spacing w:after="0"/>
        <w:rPr>
          <w:rFonts w:ascii="Times New Roman" w:hAnsi="Times New Roman" w:cs="Times New Roman"/>
          <w:sz w:val="24"/>
          <w:szCs w:val="24"/>
        </w:rPr>
      </w:pPr>
      <w:r w:rsidRPr="00C148DF">
        <w:rPr>
          <w:rFonts w:ascii="Times New Roman" w:hAnsi="Times New Roman" w:cs="Times New Roman"/>
          <w:b/>
          <w:iCs/>
          <w:sz w:val="24"/>
          <w:szCs w:val="24"/>
        </w:rPr>
        <w:t xml:space="preserve">Tab. 5.1  </w:t>
      </w:r>
      <w:r w:rsidRPr="00C148DF">
        <w:rPr>
          <w:rFonts w:ascii="Times New Roman" w:hAnsi="Times New Roman" w:cs="Times New Roman"/>
          <w:iCs/>
          <w:sz w:val="24"/>
          <w:szCs w:val="24"/>
        </w:rPr>
        <w:t>Frekvenčný vypínací plán na rok 2019</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186"/>
      </w:tblGrid>
      <w:tr w:rsidR="00B27340" w:rsidRPr="00C148DF" w14:paraId="64B091F8" w14:textId="77777777" w:rsidTr="00B27340">
        <w:trPr>
          <w:trHeight w:val="1785"/>
        </w:trPr>
        <w:tc>
          <w:tcPr>
            <w:tcW w:w="9186" w:type="dxa"/>
          </w:tcPr>
          <w:p w14:paraId="78E7839A" w14:textId="77777777" w:rsidR="00B27340" w:rsidRPr="00C148DF" w:rsidRDefault="00B27340" w:rsidP="00B27340">
            <w:pPr>
              <w:pStyle w:val="Zkladntext3"/>
              <w:spacing w:line="259" w:lineRule="auto"/>
              <w:rPr>
                <w:rFonts w:ascii="Times New Roman" w:hAnsi="Times New Roman" w:cs="Times New Roman"/>
                <w:iCs/>
                <w:sz w:val="24"/>
                <w:szCs w:val="24"/>
              </w:rPr>
            </w:pPr>
            <w:r w:rsidRPr="00C148DF">
              <w:rPr>
                <w:rFonts w:ascii="Times New Roman" w:hAnsi="Times New Roman" w:cs="Times New Roman"/>
                <w:iCs/>
                <w:noProof/>
                <w:sz w:val="24"/>
                <w:szCs w:val="24"/>
                <w:lang w:eastAsia="sk-SK"/>
              </w:rPr>
              <w:drawing>
                <wp:inline distT="0" distB="0" distL="0" distR="0" wp14:anchorId="19D01D1A" wp14:editId="5FF93028">
                  <wp:extent cx="5220586" cy="1141818"/>
                  <wp:effectExtent l="0" t="0" r="0" b="1270"/>
                  <wp:docPr id="241" name="Obrázo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8261"/>
                          <a:stretch/>
                        </pic:blipFill>
                        <pic:spPr bwMode="auto">
                          <a:xfrm>
                            <a:off x="0" y="0"/>
                            <a:ext cx="5243842" cy="11469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DCCE01" w14:textId="77777777" w:rsidR="00B27340" w:rsidRPr="00B8646A" w:rsidRDefault="00B27340" w:rsidP="005F0557">
      <w:pPr>
        <w:pStyle w:val="Nadpis2"/>
        <w:numPr>
          <w:ilvl w:val="1"/>
          <w:numId w:val="12"/>
        </w:numPr>
        <w:spacing w:before="240" w:after="120" w:line="259" w:lineRule="auto"/>
        <w:ind w:left="578" w:hanging="578"/>
        <w:jc w:val="both"/>
        <w:rPr>
          <w:rFonts w:ascii="Times New Roman" w:hAnsi="Times New Roman" w:cs="Times New Roman"/>
          <w:b/>
          <w:color w:val="000000" w:themeColor="text1"/>
          <w:sz w:val="24"/>
          <w:szCs w:val="24"/>
        </w:rPr>
      </w:pPr>
      <w:bookmarkStart w:id="20" w:name="_Toc46594175"/>
      <w:r w:rsidRPr="00B8646A">
        <w:rPr>
          <w:rFonts w:ascii="Times New Roman" w:hAnsi="Times New Roman" w:cs="Times New Roman"/>
          <w:b/>
          <w:color w:val="000000" w:themeColor="text1"/>
          <w:sz w:val="24"/>
          <w:szCs w:val="24"/>
        </w:rPr>
        <w:t>Príprava prevádzky ES SR</w:t>
      </w:r>
      <w:bookmarkEnd w:id="20"/>
    </w:p>
    <w:p w14:paraId="05D7E052"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Cieľom prípravy prevádzky na všetkých úrovniach dispečerského riadenia je vytvoriť podmienky pre bezpečnú, spoľahlivú a hospodárnu prevádzku ES SR pri rešpektovaní platnej legislatívy, Technických podmienok SEPS a PDS, záväzkov vyplývajúcich z členstva SEPS v medzinárodných organizáciách, prevádzkových zmlúv so zahraničnými prevádzkovateľmi PS, uzatvorených zmlúv medzi účastníkmi trhu s elektrinou. Elektroenergetický dispečing prevádzkovateľa PS v spolupráci s </w:t>
      </w:r>
      <w:proofErr w:type="spellStart"/>
      <w:r w:rsidRPr="00C148DF">
        <w:rPr>
          <w:rFonts w:ascii="Times New Roman" w:hAnsi="Times New Roman" w:cs="Times New Roman"/>
          <w:sz w:val="24"/>
          <w:szCs w:val="24"/>
        </w:rPr>
        <w:t>dispečingmi</w:t>
      </w:r>
      <w:proofErr w:type="spellEnd"/>
      <w:r w:rsidRPr="00C148DF">
        <w:rPr>
          <w:rFonts w:ascii="Times New Roman" w:hAnsi="Times New Roman" w:cs="Times New Roman"/>
          <w:sz w:val="24"/>
          <w:szCs w:val="24"/>
        </w:rPr>
        <w:t xml:space="preserve"> PDS zodpovedá za koordináciu a vypracovanie jednotlivých etáp prípravy prevádzky ES SR pre optimálne riešenia prevádzky a vytvorenie potrebného časového priestoru na údržbu, inováciu a výstavbu elektroenergetických zariadení za účelom zabezpečenia dlhodobo spoľahlivej a bezpečnej prevádzky ES SR.</w:t>
      </w:r>
    </w:p>
    <w:p w14:paraId="45C5691A" w14:textId="77777777" w:rsidR="00B27340" w:rsidRPr="00C148DF" w:rsidRDefault="00B27340" w:rsidP="00B27340">
      <w:pPr>
        <w:pStyle w:val="Zkladntext3"/>
        <w:spacing w:line="259" w:lineRule="auto"/>
        <w:rPr>
          <w:rFonts w:ascii="Times New Roman" w:hAnsi="Times New Roman" w:cs="Times New Roman"/>
          <w:iCs/>
          <w:sz w:val="24"/>
          <w:szCs w:val="24"/>
        </w:rPr>
      </w:pPr>
      <w:r w:rsidRPr="00C148DF">
        <w:rPr>
          <w:rFonts w:ascii="Times New Roman" w:hAnsi="Times New Roman" w:cs="Times New Roman"/>
          <w:iCs/>
          <w:sz w:val="24"/>
          <w:szCs w:val="24"/>
        </w:rPr>
        <w:lastRenderedPageBreak/>
        <w:t>Plánovanie a príprava prevádzky ES sa člení na:</w:t>
      </w:r>
    </w:p>
    <w:p w14:paraId="415DF6F1" w14:textId="77777777" w:rsidR="00B27340" w:rsidRPr="00C148DF" w:rsidRDefault="00B27340" w:rsidP="00B27340">
      <w:pPr>
        <w:pStyle w:val="Zkladntext3"/>
        <w:spacing w:line="259" w:lineRule="auto"/>
        <w:ind w:left="284" w:hanging="284"/>
        <w:rPr>
          <w:rFonts w:ascii="Times New Roman" w:hAnsi="Times New Roman" w:cs="Times New Roman"/>
          <w:iCs/>
          <w:sz w:val="24"/>
          <w:szCs w:val="24"/>
        </w:rPr>
      </w:pPr>
      <w:r w:rsidRPr="00C148DF">
        <w:rPr>
          <w:rFonts w:ascii="Times New Roman" w:hAnsi="Times New Roman" w:cs="Times New Roman"/>
          <w:iCs/>
          <w:sz w:val="24"/>
          <w:szCs w:val="24"/>
        </w:rPr>
        <w:t>a)</w:t>
      </w:r>
      <w:r w:rsidRPr="00C148DF">
        <w:rPr>
          <w:rFonts w:ascii="Times New Roman" w:hAnsi="Times New Roman" w:cs="Times New Roman"/>
          <w:iCs/>
          <w:sz w:val="24"/>
          <w:szCs w:val="24"/>
        </w:rPr>
        <w:tab/>
        <w:t>plánovanie a koordináciu prevádzky silových zariadení PS,</w:t>
      </w:r>
    </w:p>
    <w:p w14:paraId="4CD755FD" w14:textId="77777777" w:rsidR="00B27340" w:rsidRPr="00C148DF" w:rsidRDefault="00B27340" w:rsidP="00B27340">
      <w:pPr>
        <w:pStyle w:val="Zkladntext3"/>
        <w:spacing w:line="259" w:lineRule="auto"/>
        <w:ind w:left="284" w:hanging="284"/>
        <w:rPr>
          <w:rFonts w:ascii="Times New Roman" w:hAnsi="Times New Roman" w:cs="Times New Roman"/>
          <w:iCs/>
          <w:sz w:val="24"/>
          <w:szCs w:val="24"/>
        </w:rPr>
      </w:pPr>
      <w:r w:rsidRPr="00C148DF">
        <w:rPr>
          <w:rFonts w:ascii="Times New Roman" w:hAnsi="Times New Roman" w:cs="Times New Roman"/>
          <w:iCs/>
          <w:sz w:val="24"/>
          <w:szCs w:val="24"/>
        </w:rPr>
        <w:t>b)</w:t>
      </w:r>
      <w:r w:rsidRPr="00C148DF">
        <w:rPr>
          <w:rFonts w:ascii="Times New Roman" w:hAnsi="Times New Roman" w:cs="Times New Roman"/>
          <w:iCs/>
          <w:sz w:val="24"/>
          <w:szCs w:val="24"/>
        </w:rPr>
        <w:tab/>
        <w:t xml:space="preserve">prípravu prevádzky zariadení na výrobu a odber elektriny a poskytovanie </w:t>
      </w:r>
      <w:proofErr w:type="spellStart"/>
      <w:r w:rsidRPr="00C148DF">
        <w:rPr>
          <w:rFonts w:ascii="Times New Roman" w:hAnsi="Times New Roman" w:cs="Times New Roman"/>
          <w:iCs/>
          <w:sz w:val="24"/>
          <w:szCs w:val="24"/>
        </w:rPr>
        <w:t>PpS</w:t>
      </w:r>
      <w:proofErr w:type="spellEnd"/>
      <w:r w:rsidRPr="00C148DF">
        <w:rPr>
          <w:rFonts w:ascii="Times New Roman" w:hAnsi="Times New Roman" w:cs="Times New Roman"/>
          <w:iCs/>
          <w:sz w:val="24"/>
          <w:szCs w:val="24"/>
        </w:rPr>
        <w:t>.</w:t>
      </w:r>
    </w:p>
    <w:p w14:paraId="7C0AADF6" w14:textId="77777777" w:rsidR="00B27340" w:rsidRPr="00C148DF" w:rsidRDefault="00B27340" w:rsidP="00003436">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Elektroenergetický dispečing prevádzkovateľa PS spracováva v rozsahu svojich kompetencií daných príslušnou legislatívou prípravu prevádzky na ročnej, mesačnej, týždennej a dennej báze.</w:t>
      </w:r>
    </w:p>
    <w:p w14:paraId="40C0BB84" w14:textId="77777777" w:rsidR="00B27340" w:rsidRPr="00DB5342" w:rsidRDefault="00B27340" w:rsidP="00003436">
      <w:pPr>
        <w:pStyle w:val="Nadpis2"/>
        <w:numPr>
          <w:ilvl w:val="1"/>
          <w:numId w:val="12"/>
        </w:numPr>
        <w:spacing w:before="240" w:after="120" w:line="259" w:lineRule="auto"/>
        <w:ind w:left="578" w:hanging="578"/>
        <w:jc w:val="both"/>
        <w:rPr>
          <w:rFonts w:ascii="Times New Roman" w:hAnsi="Times New Roman" w:cs="Times New Roman"/>
          <w:b/>
          <w:color w:val="000000" w:themeColor="text1"/>
          <w:sz w:val="24"/>
          <w:szCs w:val="24"/>
        </w:rPr>
      </w:pPr>
      <w:bookmarkStart w:id="21" w:name="_Toc46594176"/>
      <w:r w:rsidRPr="00DB5342">
        <w:rPr>
          <w:rFonts w:ascii="Times New Roman" w:hAnsi="Times New Roman" w:cs="Times New Roman"/>
          <w:b/>
          <w:color w:val="000000" w:themeColor="text1"/>
          <w:sz w:val="24"/>
          <w:szCs w:val="24"/>
        </w:rPr>
        <w:t>Vypracovanie Plánu obrany a obnovy ES SR</w:t>
      </w:r>
      <w:bookmarkEnd w:id="21"/>
    </w:p>
    <w:p w14:paraId="3CE68840" w14:textId="77777777" w:rsidR="00B27340" w:rsidRPr="00C148DF" w:rsidRDefault="00B27340" w:rsidP="00003436">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 xml:space="preserve">PS môže byť z hľadiska bezpečnosti, spoľahlivosti a riadenia prevádzky v normálnom a v mimoriadnom stave, ktorý sa ďalej člení na poruchový stav a na stav, kedy hrozí vyhlásenie alebo je vyhlásený stav núdze v </w:t>
      </w:r>
      <w:proofErr w:type="spellStart"/>
      <w:r w:rsidRPr="00C148DF">
        <w:rPr>
          <w:rFonts w:ascii="Times New Roman" w:hAnsi="Times New Roman" w:cs="Times New Roman"/>
          <w:iCs/>
          <w:sz w:val="24"/>
          <w:szCs w:val="24"/>
        </w:rPr>
        <w:t>elektroenergetike</w:t>
      </w:r>
      <w:proofErr w:type="spellEnd"/>
      <w:r w:rsidRPr="00C148DF">
        <w:rPr>
          <w:rFonts w:ascii="Times New Roman" w:hAnsi="Times New Roman" w:cs="Times New Roman"/>
          <w:iCs/>
          <w:sz w:val="24"/>
          <w:szCs w:val="24"/>
        </w:rPr>
        <w:t>.</w:t>
      </w:r>
    </w:p>
    <w:p w14:paraId="7305DC29" w14:textId="77777777" w:rsidR="00B27340" w:rsidRPr="00C148DF" w:rsidRDefault="00B27340" w:rsidP="00003436">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Počas normálneho stavu musí prevádzkovateľ PS v stanovených časových intervaloch monitorovať aktuálny stav sústavy a musí reagovať na odchýlky hodnôt frekvencie alebo napätia, ako aj na preťaženia zariadení. Na túto reguláciu využíva zálohy zariadení na výrobu elektriny (činný a jalový výkon) a manipulácie s prenosovými zariadeniami.</w:t>
      </w:r>
    </w:p>
    <w:p w14:paraId="42DBF3BA" w14:textId="77777777" w:rsidR="00B27340" w:rsidRPr="00C148DF" w:rsidRDefault="00B27340" w:rsidP="00003436">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Pri poruchovom stave elektroenergetický dispečing lokalizuje poruchové miesto, zisťuje rozsah a dopady poruchového stavu na zásobovanie odberateľov, na výrobu elektriny a na cezhraničné prenosy. Rieši obnovenie dodávky a výroby elektriny a cezhraničné prenosy tak, aby prerušenie dodávky alebo výroby bolo čo najkratšie.</w:t>
      </w:r>
    </w:p>
    <w:p w14:paraId="0B21F087" w14:textId="77777777" w:rsidR="00B27340" w:rsidRPr="00C148DF" w:rsidRDefault="00B27340" w:rsidP="00003436">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Na účel stanovenia podmienok a pravidiel pre zabránenie šírenia porúch, ako aj na účel stanovenia podmienok a pravidiel pre obnovu bezpečnej a spoľahlivej prevádzky ES SR po prípadnej poruche, je pravidelne (spravidla v dvojročnom cykle) spracovávaný:</w:t>
      </w:r>
    </w:p>
    <w:p w14:paraId="3015293C" w14:textId="77777777" w:rsidR="00B27340" w:rsidRPr="00C148DF" w:rsidRDefault="00B27340" w:rsidP="00003436">
      <w:pPr>
        <w:pStyle w:val="Zkladntext3"/>
        <w:numPr>
          <w:ilvl w:val="0"/>
          <w:numId w:val="4"/>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b/>
          <w:iCs/>
          <w:sz w:val="24"/>
          <w:szCs w:val="24"/>
        </w:rPr>
        <w:t>Plán obrany</w:t>
      </w:r>
      <w:r w:rsidRPr="00C148DF">
        <w:rPr>
          <w:rFonts w:ascii="Times New Roman" w:hAnsi="Times New Roman" w:cs="Times New Roman"/>
          <w:iCs/>
          <w:sz w:val="24"/>
          <w:szCs w:val="24"/>
        </w:rPr>
        <w:t xml:space="preserve"> proti šíreniu veľkých systémových porúch v ES SR ako súhrn všetkých technických a organizačných opatrení na zabránenie šírenia alebo zhoršovania poruchy ES, aby sa zabránilo jej kolapsu,</w:t>
      </w:r>
    </w:p>
    <w:p w14:paraId="36DBB37F" w14:textId="77777777" w:rsidR="00B27340" w:rsidRPr="00C148DF" w:rsidRDefault="00B27340" w:rsidP="00003436">
      <w:pPr>
        <w:pStyle w:val="Zkladntext3"/>
        <w:numPr>
          <w:ilvl w:val="0"/>
          <w:numId w:val="4"/>
        </w:numPr>
        <w:autoSpaceDE w:val="0"/>
        <w:autoSpaceDN w:val="0"/>
        <w:adjustRightInd w:val="0"/>
        <w:spacing w:line="259" w:lineRule="auto"/>
        <w:jc w:val="both"/>
        <w:rPr>
          <w:rFonts w:ascii="Times New Roman" w:hAnsi="Times New Roman" w:cs="Times New Roman"/>
          <w:iCs/>
          <w:sz w:val="24"/>
          <w:szCs w:val="24"/>
        </w:rPr>
      </w:pPr>
      <w:r w:rsidRPr="00C148DF">
        <w:rPr>
          <w:rFonts w:ascii="Times New Roman" w:hAnsi="Times New Roman" w:cs="Times New Roman"/>
          <w:b/>
          <w:iCs/>
          <w:sz w:val="24"/>
          <w:szCs w:val="24"/>
        </w:rPr>
        <w:t>Plán obnovy</w:t>
      </w:r>
      <w:r w:rsidRPr="00C148DF">
        <w:rPr>
          <w:rFonts w:ascii="Times New Roman" w:hAnsi="Times New Roman" w:cs="Times New Roman"/>
          <w:iCs/>
          <w:sz w:val="24"/>
          <w:szCs w:val="24"/>
        </w:rPr>
        <w:t xml:space="preserve"> prevádzky ES SR po veľkom systémovom výpadku typu „</w:t>
      </w:r>
      <w:proofErr w:type="spellStart"/>
      <w:r w:rsidRPr="00C148DF">
        <w:rPr>
          <w:rFonts w:ascii="Times New Roman" w:hAnsi="Times New Roman" w:cs="Times New Roman"/>
          <w:iCs/>
          <w:sz w:val="24"/>
          <w:szCs w:val="24"/>
        </w:rPr>
        <w:t>black-out</w:t>
      </w:r>
      <w:proofErr w:type="spellEnd"/>
      <w:r w:rsidRPr="00C148DF">
        <w:rPr>
          <w:rFonts w:ascii="Times New Roman" w:hAnsi="Times New Roman" w:cs="Times New Roman"/>
          <w:iCs/>
          <w:sz w:val="24"/>
          <w:szCs w:val="24"/>
        </w:rPr>
        <w:t>“ ako súhrn technicko-organizačných opatrení pre zabezpečenie uvedenia sústavy do normálneho stavu po jej úplnom alebo čiastočnom rozpade.</w:t>
      </w:r>
    </w:p>
    <w:p w14:paraId="2581DAAB" w14:textId="77777777" w:rsidR="00B27340" w:rsidRPr="00C148DF" w:rsidRDefault="00B27340" w:rsidP="00003436">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 xml:space="preserve">Prevádzkovateľ elektroenergetického zariadenia a príslušný dispečing zodpovedá za prijatie opatrení zameraných na predchádzanie stavu núdze v </w:t>
      </w:r>
      <w:proofErr w:type="spellStart"/>
      <w:r w:rsidRPr="00C148DF">
        <w:rPr>
          <w:rFonts w:ascii="Times New Roman" w:hAnsi="Times New Roman" w:cs="Times New Roman"/>
          <w:iCs/>
          <w:sz w:val="24"/>
          <w:szCs w:val="24"/>
        </w:rPr>
        <w:t>elektroenergetike</w:t>
      </w:r>
      <w:proofErr w:type="spellEnd"/>
      <w:r w:rsidRPr="00C148DF">
        <w:rPr>
          <w:rFonts w:ascii="Times New Roman" w:hAnsi="Times New Roman" w:cs="Times New Roman"/>
          <w:iCs/>
          <w:sz w:val="24"/>
          <w:szCs w:val="24"/>
        </w:rPr>
        <w:t xml:space="preserve"> a za riešenie stavov núdze v </w:t>
      </w:r>
      <w:proofErr w:type="spellStart"/>
      <w:r w:rsidRPr="00C148DF">
        <w:rPr>
          <w:rFonts w:ascii="Times New Roman" w:hAnsi="Times New Roman" w:cs="Times New Roman"/>
          <w:iCs/>
          <w:sz w:val="24"/>
          <w:szCs w:val="24"/>
        </w:rPr>
        <w:t>elektroenergetike</w:t>
      </w:r>
      <w:proofErr w:type="spellEnd"/>
      <w:r w:rsidRPr="00C148DF">
        <w:rPr>
          <w:rFonts w:ascii="Times New Roman" w:hAnsi="Times New Roman" w:cs="Times New Roman"/>
          <w:iCs/>
          <w:sz w:val="24"/>
          <w:szCs w:val="24"/>
        </w:rPr>
        <w:t>. Pre tento účel je povinný vypracovať obranné plány. Obranné plány riešia problematiku predchádzania a likvidácie závažných a systémových porúch, obsahujú plány na nasadzovanie systémových a lokálnych frekvenčných relé (f relé) na reguláciu spotreby elektriny a plány obnovy sústavy.</w:t>
      </w:r>
    </w:p>
    <w:p w14:paraId="01AE8933" w14:textId="77777777" w:rsidR="00B27340" w:rsidRPr="00DB5342" w:rsidRDefault="00B27340" w:rsidP="005F0557">
      <w:pPr>
        <w:pStyle w:val="Nadpis2"/>
        <w:numPr>
          <w:ilvl w:val="1"/>
          <w:numId w:val="12"/>
        </w:numPr>
        <w:spacing w:before="240" w:after="120" w:line="259" w:lineRule="auto"/>
        <w:ind w:left="578" w:hanging="578"/>
        <w:jc w:val="both"/>
        <w:rPr>
          <w:rFonts w:ascii="Times New Roman" w:hAnsi="Times New Roman" w:cs="Times New Roman"/>
          <w:b/>
          <w:color w:val="000000" w:themeColor="text1"/>
          <w:sz w:val="24"/>
          <w:szCs w:val="24"/>
        </w:rPr>
      </w:pPr>
      <w:bookmarkStart w:id="22" w:name="_Toc46594177"/>
      <w:r w:rsidRPr="00DB5342">
        <w:rPr>
          <w:rFonts w:ascii="Times New Roman" w:hAnsi="Times New Roman" w:cs="Times New Roman"/>
          <w:b/>
          <w:color w:val="000000" w:themeColor="text1"/>
          <w:sz w:val="24"/>
          <w:szCs w:val="24"/>
        </w:rPr>
        <w:t xml:space="preserve">Nápravné opatrenia v zmysle </w:t>
      </w:r>
      <w:r w:rsidRPr="00DB5342">
        <w:rPr>
          <w:rFonts w:ascii="Times New Roman" w:hAnsi="Times New Roman" w:cs="Times New Roman"/>
          <w:b/>
          <w:iCs/>
          <w:color w:val="000000" w:themeColor="text1"/>
          <w:sz w:val="24"/>
          <w:szCs w:val="24"/>
        </w:rPr>
        <w:t>Rámcovej dohody SAFA</w:t>
      </w:r>
      <w:bookmarkEnd w:id="22"/>
    </w:p>
    <w:p w14:paraId="1FD20A0C" w14:textId="77777777" w:rsidR="00B27340" w:rsidRPr="00C148DF" w:rsidRDefault="00B27340" w:rsidP="00003436">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Bezpečnosť sústavy je primárnym cieľom prevádzky prepojených sústav. V prostredí liberalizovaného trhu nemajú prevádzkovatelia PS povolené zasahovať do trhových mechanizmov, pokiaľ nie je ohrozená bezpečnosť sústavy.</w:t>
      </w:r>
    </w:p>
    <w:p w14:paraId="57D841C1" w14:textId="77777777" w:rsidR="00B27340" w:rsidRPr="00C148DF" w:rsidRDefault="00B27340" w:rsidP="00003436">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lastRenderedPageBreak/>
        <w:t>Nápravné opatrenia v zmysle Rámcovej dohody SAFA</w:t>
      </w:r>
      <w:r w:rsidRPr="00C148DF">
        <w:rPr>
          <w:rStyle w:val="Odkaznapoznmkupodiarou"/>
          <w:rFonts w:ascii="Times New Roman" w:hAnsi="Times New Roman" w:cs="Times New Roman"/>
          <w:iCs/>
          <w:sz w:val="24"/>
          <w:szCs w:val="24"/>
        </w:rPr>
        <w:footnoteReference w:id="11"/>
      </w:r>
      <w:r w:rsidRPr="00C148DF">
        <w:rPr>
          <w:rStyle w:val="Odkaznapoznmkupodiarou"/>
          <w:rFonts w:ascii="Times New Roman" w:hAnsi="Times New Roman" w:cs="Times New Roman"/>
          <w:iCs/>
          <w:sz w:val="24"/>
          <w:szCs w:val="24"/>
        </w:rPr>
        <w:t xml:space="preserve"> </w:t>
      </w:r>
      <w:r w:rsidRPr="00C148DF">
        <w:rPr>
          <w:rFonts w:ascii="Times New Roman" w:hAnsi="Times New Roman" w:cs="Times New Roman"/>
          <w:iCs/>
          <w:sz w:val="24"/>
          <w:szCs w:val="24"/>
        </w:rPr>
        <w:t xml:space="preserve"> sú akékoľvek opatrenia, ktoré prevádzkovateľ PS uplatní včas, aby plnil kritérium N-1. Možnosti využívania nápravných opatrení v ES SR sú nasledovné:</w:t>
      </w:r>
    </w:p>
    <w:p w14:paraId="1E5F8054" w14:textId="77777777" w:rsidR="00B27340" w:rsidRPr="00C148DF" w:rsidRDefault="00B27340" w:rsidP="00DB5342">
      <w:pPr>
        <w:pStyle w:val="Zkladntext3"/>
        <w:numPr>
          <w:ilvl w:val="0"/>
          <w:numId w:val="13"/>
        </w:numPr>
        <w:autoSpaceDE w:val="0"/>
        <w:autoSpaceDN w:val="0"/>
        <w:adjustRightInd w:val="0"/>
        <w:spacing w:after="8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zrušenie plánovaných prác na zariadeniach PS,</w:t>
      </w:r>
    </w:p>
    <w:p w14:paraId="50CAC99E" w14:textId="77777777" w:rsidR="00B27340" w:rsidRPr="00C148DF" w:rsidRDefault="00B27340" w:rsidP="00DB5342">
      <w:pPr>
        <w:pStyle w:val="Zkladntext3"/>
        <w:numPr>
          <w:ilvl w:val="0"/>
          <w:numId w:val="13"/>
        </w:numPr>
        <w:autoSpaceDE w:val="0"/>
        <w:autoSpaceDN w:val="0"/>
        <w:adjustRightInd w:val="0"/>
        <w:spacing w:after="80" w:line="259" w:lineRule="auto"/>
        <w:ind w:left="714" w:hanging="357"/>
        <w:jc w:val="both"/>
        <w:rPr>
          <w:rFonts w:ascii="Times New Roman" w:hAnsi="Times New Roman" w:cs="Times New Roman"/>
          <w:iCs/>
          <w:sz w:val="24"/>
          <w:szCs w:val="24"/>
        </w:rPr>
      </w:pPr>
      <w:proofErr w:type="spellStart"/>
      <w:r w:rsidRPr="00C148DF">
        <w:rPr>
          <w:rFonts w:ascii="Times New Roman" w:hAnsi="Times New Roman" w:cs="Times New Roman"/>
          <w:iCs/>
          <w:sz w:val="24"/>
          <w:szCs w:val="24"/>
        </w:rPr>
        <w:t>rekonfigurácia</w:t>
      </w:r>
      <w:proofErr w:type="spellEnd"/>
      <w:r w:rsidRPr="00C148DF">
        <w:rPr>
          <w:rFonts w:ascii="Times New Roman" w:hAnsi="Times New Roman" w:cs="Times New Roman"/>
          <w:iCs/>
          <w:sz w:val="24"/>
          <w:szCs w:val="24"/>
        </w:rPr>
        <w:t xml:space="preserve"> v PS SR,</w:t>
      </w:r>
    </w:p>
    <w:p w14:paraId="0EA58798" w14:textId="77777777" w:rsidR="00B27340" w:rsidRPr="00C148DF" w:rsidRDefault="00B27340" w:rsidP="00DB5342">
      <w:pPr>
        <w:pStyle w:val="Zkladntext3"/>
        <w:numPr>
          <w:ilvl w:val="0"/>
          <w:numId w:val="13"/>
        </w:numPr>
        <w:autoSpaceDE w:val="0"/>
        <w:autoSpaceDN w:val="0"/>
        <w:adjustRightInd w:val="0"/>
        <w:spacing w:after="8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vypínanie vedení v PS SR,</w:t>
      </w:r>
    </w:p>
    <w:p w14:paraId="7F4F99D9" w14:textId="77777777" w:rsidR="00B27340" w:rsidRPr="00C148DF" w:rsidRDefault="00B27340" w:rsidP="00DB5342">
      <w:pPr>
        <w:pStyle w:val="Zkladntext3"/>
        <w:numPr>
          <w:ilvl w:val="0"/>
          <w:numId w:val="13"/>
        </w:numPr>
        <w:autoSpaceDE w:val="0"/>
        <w:autoSpaceDN w:val="0"/>
        <w:adjustRightInd w:val="0"/>
        <w:spacing w:after="8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zníženie kapacít na cezhraničných profiloch,</w:t>
      </w:r>
    </w:p>
    <w:p w14:paraId="2BCE0C8C" w14:textId="77777777" w:rsidR="00B27340" w:rsidRPr="00C148DF" w:rsidRDefault="00B27340" w:rsidP="00DB5342">
      <w:pPr>
        <w:pStyle w:val="Zkladntext3"/>
        <w:numPr>
          <w:ilvl w:val="0"/>
          <w:numId w:val="13"/>
        </w:numPr>
        <w:autoSpaceDE w:val="0"/>
        <w:autoSpaceDN w:val="0"/>
        <w:adjustRightInd w:val="0"/>
        <w:spacing w:after="8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obmedzenie spotreby (realizácia obmedzenia spotreby v ES SR je možná až po vyhlásení stavu núdze v ES SR).</w:t>
      </w:r>
    </w:p>
    <w:p w14:paraId="1AC4344C" w14:textId="77777777" w:rsidR="00B27340" w:rsidRPr="00C148DF" w:rsidRDefault="00B27340" w:rsidP="00003436">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 xml:space="preserve">Nápravné opatrenia </w:t>
      </w:r>
      <w:proofErr w:type="spellStart"/>
      <w:r w:rsidRPr="00C148DF">
        <w:rPr>
          <w:rFonts w:ascii="Times New Roman" w:hAnsi="Times New Roman" w:cs="Times New Roman"/>
          <w:iCs/>
          <w:sz w:val="24"/>
          <w:szCs w:val="24"/>
        </w:rPr>
        <w:t>redispečing</w:t>
      </w:r>
      <w:proofErr w:type="spellEnd"/>
      <w:r w:rsidRPr="00C148DF">
        <w:rPr>
          <w:rFonts w:ascii="Times New Roman" w:hAnsi="Times New Roman" w:cs="Times New Roman"/>
          <w:iCs/>
          <w:sz w:val="24"/>
          <w:szCs w:val="24"/>
        </w:rPr>
        <w:t xml:space="preserve"> a protiobchod v súčasnosti nemá možnosť PPS využívať.</w:t>
      </w:r>
    </w:p>
    <w:p w14:paraId="74170E7D"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Všetky nápravné opatrenia susedných prevádzkovateľov PS, ktoré majú dopad na prevádzku PS SR, by mali byť vopred konzultované a koordinované s dispečerom elektroenergetického dispečingu prevádzkovateľa PS. Rozhodnutie dispečera elektroenergetického dispečingu prevádzkovateľa PS je vždy na základe posúdenia momentálnej situácie v ES, dopadov na bezpečnosť prevádzky sústavy, plnení medzinárodných záväzkov a ekonomických dopadov na SEPS.</w:t>
      </w:r>
    </w:p>
    <w:p w14:paraId="3393CB2B" w14:textId="77777777" w:rsidR="00B27340" w:rsidRPr="00DB5342" w:rsidRDefault="00B27340" w:rsidP="00003436">
      <w:pPr>
        <w:pStyle w:val="Nadpis2"/>
        <w:numPr>
          <w:ilvl w:val="1"/>
          <w:numId w:val="12"/>
        </w:numPr>
        <w:spacing w:before="240" w:after="120" w:line="259" w:lineRule="auto"/>
        <w:ind w:left="578" w:hanging="578"/>
        <w:jc w:val="both"/>
        <w:rPr>
          <w:rFonts w:ascii="Times New Roman" w:hAnsi="Times New Roman" w:cs="Times New Roman"/>
          <w:b/>
          <w:color w:val="000000" w:themeColor="text1"/>
          <w:sz w:val="24"/>
          <w:szCs w:val="24"/>
        </w:rPr>
      </w:pPr>
      <w:bookmarkStart w:id="23" w:name="_Toc485027464"/>
      <w:bookmarkStart w:id="24" w:name="_Toc46594178"/>
      <w:r w:rsidRPr="00DB5342">
        <w:rPr>
          <w:rFonts w:ascii="Times New Roman" w:hAnsi="Times New Roman" w:cs="Times New Roman"/>
          <w:b/>
          <w:color w:val="000000" w:themeColor="text1"/>
          <w:sz w:val="24"/>
          <w:szCs w:val="24"/>
        </w:rPr>
        <w:t>Vykonávanie koordinovaných bezpečnostných analýz</w:t>
      </w:r>
      <w:bookmarkEnd w:id="23"/>
      <w:bookmarkEnd w:id="24"/>
    </w:p>
    <w:p w14:paraId="47E610E7"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Vykonávanie bezpečnostných analýz ustáleného chodu sústavy deň vopred (DACF) a v rámci dňa (IDCF) je jednou zo základných povinností prevádzkovateľov prenosových sústav, ktorá je požadovaná nie len platnou Rámcovou dohodou SAFA, ale rovnako tiež aktuálne platnou európskou legislatívou. Z dôvodu zvyšujúceho sa výskytu situácií, ktoré vyžadujú nasadenie rôznych nápravných opatrení za účelom zachovania spoľahlivosti a stability prevádzky sústavy, vyplynula potreba prípravy a koordinácie týchto opatrení už deň vopred. To je realizované v rámci DACF procesu s prevádzkovateľmi prenosových sústav v celom regióne. Schválením Nariadenia Komisie (EÚ) 2017/1485 z 2. augusta 2017, ktorým sa stanovuje usmernenie pre prevádzkovanie elektrizačnej prenosovej sústavy spolu s Rámcovou dohodou SAFA prišla do platnosti povinnosť pre prevádzkovateľov prenosových sústav týkajúca sa poskytovania modelov sústavy, vykonávanie bezpečnostných analýz a koordinácie nápravných opatrení aj v rámci IDCF.</w:t>
      </w:r>
    </w:p>
    <w:p w14:paraId="6023576A"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 xml:space="preserve">Plnenie predmetných povinností je zabezpečované prostredníctvom systému pre koordinované bezpečnostné analýzy AMICA. Systém je prevádzkovaný spoločnosťou TSCNET </w:t>
      </w:r>
      <w:proofErr w:type="spellStart"/>
      <w:r w:rsidRPr="00C148DF">
        <w:rPr>
          <w:rFonts w:ascii="Times New Roman" w:hAnsi="Times New Roman" w:cs="Times New Roman"/>
          <w:sz w:val="24"/>
          <w:szCs w:val="24"/>
        </w:rPr>
        <w:t>Services</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GmbH</w:t>
      </w:r>
      <w:proofErr w:type="spellEnd"/>
      <w:r w:rsidRPr="00C148DF">
        <w:rPr>
          <w:rFonts w:ascii="Times New Roman" w:hAnsi="Times New Roman" w:cs="Times New Roman"/>
          <w:sz w:val="24"/>
          <w:szCs w:val="24"/>
        </w:rPr>
        <w:t xml:space="preserve">. Počas roka 2018 došlo k prechodu z testovacej prevádzky na prevádzku ostrú keďže spoločnosť SEPS sa stala právoplatným akcionárom spoločnosti TSCNET </w:t>
      </w:r>
      <w:proofErr w:type="spellStart"/>
      <w:r w:rsidRPr="00C148DF">
        <w:rPr>
          <w:rFonts w:ascii="Times New Roman" w:hAnsi="Times New Roman" w:cs="Times New Roman"/>
          <w:sz w:val="24"/>
          <w:szCs w:val="24"/>
        </w:rPr>
        <w:t>Services</w:t>
      </w:r>
      <w:proofErr w:type="spellEnd"/>
      <w:r w:rsidRPr="00C148DF">
        <w:rPr>
          <w:rFonts w:ascii="Times New Roman" w:hAnsi="Times New Roman" w:cs="Times New Roman"/>
          <w:sz w:val="24"/>
          <w:szCs w:val="24"/>
        </w:rPr>
        <w:t xml:space="preserve"> </w:t>
      </w:r>
      <w:proofErr w:type="spellStart"/>
      <w:r w:rsidRPr="00C148DF">
        <w:rPr>
          <w:rFonts w:ascii="Times New Roman" w:hAnsi="Times New Roman" w:cs="Times New Roman"/>
          <w:sz w:val="24"/>
          <w:szCs w:val="24"/>
        </w:rPr>
        <w:t>GmbH</w:t>
      </w:r>
      <w:proofErr w:type="spellEnd"/>
      <w:r w:rsidRPr="00C148DF">
        <w:rPr>
          <w:rFonts w:ascii="Times New Roman" w:hAnsi="Times New Roman" w:cs="Times New Roman"/>
          <w:sz w:val="24"/>
          <w:szCs w:val="24"/>
        </w:rPr>
        <w:t xml:space="preserve">. Systém AMICA umožňuje výpočet </w:t>
      </w:r>
      <w:proofErr w:type="spellStart"/>
      <w:r w:rsidRPr="00C148DF">
        <w:rPr>
          <w:rFonts w:ascii="Times New Roman" w:hAnsi="Times New Roman" w:cs="Times New Roman"/>
          <w:sz w:val="24"/>
          <w:szCs w:val="24"/>
        </w:rPr>
        <w:t>kontingenčnej</w:t>
      </w:r>
      <w:proofErr w:type="spellEnd"/>
      <w:r w:rsidRPr="00C148DF">
        <w:rPr>
          <w:rFonts w:ascii="Times New Roman" w:hAnsi="Times New Roman" w:cs="Times New Roman"/>
          <w:sz w:val="24"/>
          <w:szCs w:val="24"/>
        </w:rPr>
        <w:t xml:space="preserve"> analýzy, aplikáciu nápravných opatrení a generovanie výstupných správ tak z DACF procesu, ako aj z IDCF procesu. Koordinácia jednotlivých možných nápravných opatrení, ktorých vplyv bol predtým overený výpočtom v samotnom systéme AMICA, prebieha na pravidelnej dennej video resp. </w:t>
      </w:r>
      <w:proofErr w:type="spellStart"/>
      <w:r w:rsidRPr="00C148DF">
        <w:rPr>
          <w:rFonts w:ascii="Times New Roman" w:hAnsi="Times New Roman" w:cs="Times New Roman"/>
          <w:sz w:val="24"/>
          <w:szCs w:val="24"/>
        </w:rPr>
        <w:t>telekonferencii</w:t>
      </w:r>
      <w:proofErr w:type="spellEnd"/>
      <w:r w:rsidRPr="00C148DF">
        <w:rPr>
          <w:rFonts w:ascii="Times New Roman" w:hAnsi="Times New Roman" w:cs="Times New Roman"/>
          <w:sz w:val="24"/>
          <w:szCs w:val="24"/>
        </w:rPr>
        <w:t xml:space="preserve"> (DOPT), ktorá môže byť organizovaná v prípade potreby aj v rámci dňa (tzv. </w:t>
      </w:r>
      <w:proofErr w:type="spellStart"/>
      <w:r w:rsidRPr="00C148DF">
        <w:rPr>
          <w:rFonts w:ascii="Times New Roman" w:hAnsi="Times New Roman" w:cs="Times New Roman"/>
          <w:sz w:val="24"/>
          <w:szCs w:val="24"/>
        </w:rPr>
        <w:t>iDOPT</w:t>
      </w:r>
      <w:proofErr w:type="spellEnd"/>
      <w:r w:rsidRPr="00C148DF">
        <w:rPr>
          <w:rFonts w:ascii="Times New Roman" w:hAnsi="Times New Roman" w:cs="Times New Roman"/>
          <w:sz w:val="24"/>
          <w:szCs w:val="24"/>
        </w:rPr>
        <w:t>).</w:t>
      </w:r>
    </w:p>
    <w:p w14:paraId="46DD741F" w14:textId="77777777" w:rsidR="00B27340" w:rsidRPr="00C148DF" w:rsidRDefault="00B27340" w:rsidP="00003436">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Výsledky resp. reporty vygenerované z procesov DACF a IDCF sú automaticky importované do systému MES2 a tým sú hneď k dispozícii pre potreby odboru riadenia ES.</w:t>
      </w:r>
    </w:p>
    <w:p w14:paraId="38BC9158" w14:textId="77777777" w:rsidR="00B27340" w:rsidRPr="00C148DF" w:rsidRDefault="00B27340" w:rsidP="00003436">
      <w:pPr>
        <w:pStyle w:val="Zkladntext3"/>
        <w:spacing w:line="259" w:lineRule="auto"/>
        <w:jc w:val="both"/>
        <w:rPr>
          <w:rFonts w:ascii="Times New Roman" w:hAnsi="Times New Roman" w:cs="Times New Roman"/>
          <w:iCs/>
          <w:sz w:val="24"/>
          <w:szCs w:val="24"/>
        </w:rPr>
        <w:sectPr w:rsidR="00B27340" w:rsidRPr="00C148DF" w:rsidSect="007A5CEA">
          <w:pgSz w:w="11906" w:h="16838"/>
          <w:pgMar w:top="1418" w:right="851" w:bottom="1418" w:left="1418" w:header="708" w:footer="708" w:gutter="0"/>
          <w:cols w:space="708"/>
          <w:docGrid w:linePitch="360"/>
        </w:sectPr>
      </w:pPr>
    </w:p>
    <w:p w14:paraId="3520ACC5" w14:textId="77777777" w:rsidR="00B27340" w:rsidRPr="00C148DF" w:rsidRDefault="00B27340" w:rsidP="00003436">
      <w:pPr>
        <w:pStyle w:val="Nadpis1"/>
        <w:keepLines/>
        <w:numPr>
          <w:ilvl w:val="0"/>
          <w:numId w:val="12"/>
        </w:numPr>
        <w:spacing w:before="240" w:after="120" w:line="259" w:lineRule="auto"/>
        <w:ind w:left="431" w:hanging="431"/>
        <w:jc w:val="both"/>
        <w:rPr>
          <w:sz w:val="24"/>
          <w:szCs w:val="24"/>
        </w:rPr>
      </w:pPr>
      <w:bookmarkStart w:id="25" w:name="_Toc46594179"/>
      <w:r w:rsidRPr="00C148DF">
        <w:rPr>
          <w:sz w:val="24"/>
          <w:szCs w:val="24"/>
        </w:rPr>
        <w:lastRenderedPageBreak/>
        <w:t>Opatrenia na krytie špičkového dopytu a riešenie výpadkov v ES SR</w:t>
      </w:r>
      <w:bookmarkEnd w:id="25"/>
    </w:p>
    <w:p w14:paraId="4190C633"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 xml:space="preserve">Prevádzkovateľ PS zabezpečuje systémové služby pre udržanie prevádzkyschopnosti ES, bezpečnosti, kvality a spoľahlivosti dodávky elektriny z PS, udržiavanie vyrovnanej výkonovej bilancie a obnovy synchrónnej prevádzky pri rozpade ES SR. Podporné služby potrebné pre zabezpečenie systémových služieb zabezpečuje SEPS, ako prevádzkovateľ PS, nákupom od certifikovaných poskytovateľov podporných služieb. Zabezpečenie spoľahlivej a bezpečnej prevádzky ES SR z hľadiska pokrytia diagramu zaťaženia v hodinách špičkového dopytu, alebo v prípade výpadkov zariadení na výrobu elektriny je riešené prostredníctvom elektroenergetického dispečingu najmä aktivovaním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ďalej využitím havarijnej výpomoci od susedných prevádzkovateľov PS a tiež nákupom negarantovanej regulačnej elektriny.</w:t>
      </w:r>
    </w:p>
    <w:p w14:paraId="6A107B0D"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 xml:space="preserve">Pri stanovení optimálneho objemu jednotlivých druhov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sa uplatňuje najmä kritérium spoľahlivosti, princíp časového rozvrstvenia a sezónnosti. Východiskovými údajmi sú najmä očakávané maximálne zaťaženia regulačnej oblasti pre sledovaný časový úsek podľa časového rozvrstvenia a štatistické údaje podľa sezónnosti, pod ktorú daný časový úsek spadá.</w:t>
      </w:r>
    </w:p>
    <w:p w14:paraId="154D8A7A" w14:textId="77777777" w:rsidR="00B27340" w:rsidRPr="00C148DF" w:rsidRDefault="00B27340" w:rsidP="00003436">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 xml:space="preserve">Ďalej sa pre stanovenie jednotlivých objemov </w:t>
      </w:r>
      <w:proofErr w:type="spellStart"/>
      <w:r w:rsidRPr="00C148DF">
        <w:rPr>
          <w:rFonts w:ascii="Times New Roman" w:hAnsi="Times New Roman" w:cs="Times New Roman"/>
          <w:iCs/>
          <w:sz w:val="24"/>
          <w:szCs w:val="24"/>
        </w:rPr>
        <w:t>PpS</w:t>
      </w:r>
      <w:proofErr w:type="spellEnd"/>
      <w:r w:rsidRPr="00C148DF">
        <w:rPr>
          <w:rFonts w:ascii="Times New Roman" w:hAnsi="Times New Roman" w:cs="Times New Roman"/>
          <w:iCs/>
          <w:sz w:val="24"/>
          <w:szCs w:val="24"/>
        </w:rPr>
        <w:t xml:space="preserve"> vychádza z nasledovných súvislostí:</w:t>
      </w:r>
    </w:p>
    <w:p w14:paraId="5AC61B3F" w14:textId="77777777" w:rsidR="00B27340" w:rsidRPr="00C148DF" w:rsidRDefault="00B27340" w:rsidP="00003436">
      <w:pPr>
        <w:pStyle w:val="Zkladntext3"/>
        <w:spacing w:line="259" w:lineRule="auto"/>
        <w:ind w:left="709" w:hanging="283"/>
        <w:jc w:val="both"/>
        <w:rPr>
          <w:rFonts w:ascii="Times New Roman" w:hAnsi="Times New Roman" w:cs="Times New Roman"/>
          <w:iCs/>
          <w:sz w:val="24"/>
          <w:szCs w:val="24"/>
        </w:rPr>
      </w:pPr>
      <w:r w:rsidRPr="00C148DF">
        <w:rPr>
          <w:rFonts w:ascii="Times New Roman" w:hAnsi="Times New Roman" w:cs="Times New Roman"/>
          <w:iCs/>
          <w:sz w:val="24"/>
          <w:szCs w:val="24"/>
        </w:rPr>
        <w:t>•</w:t>
      </w:r>
      <w:r w:rsidRPr="00C148DF">
        <w:rPr>
          <w:rFonts w:ascii="Times New Roman" w:hAnsi="Times New Roman" w:cs="Times New Roman"/>
          <w:iCs/>
          <w:sz w:val="24"/>
          <w:szCs w:val="24"/>
        </w:rPr>
        <w:tab/>
        <w:t>záväzné štandardy Rámcovej dohody SAFA,</w:t>
      </w:r>
    </w:p>
    <w:p w14:paraId="7D10312D" w14:textId="77777777" w:rsidR="00B27340" w:rsidRPr="00C148DF" w:rsidRDefault="00B27340" w:rsidP="00003436">
      <w:pPr>
        <w:pStyle w:val="Zkladntext3"/>
        <w:spacing w:line="259" w:lineRule="auto"/>
        <w:ind w:left="709" w:hanging="283"/>
        <w:jc w:val="both"/>
        <w:rPr>
          <w:rFonts w:ascii="Times New Roman" w:hAnsi="Times New Roman" w:cs="Times New Roman"/>
          <w:iCs/>
          <w:sz w:val="24"/>
          <w:szCs w:val="24"/>
        </w:rPr>
      </w:pPr>
      <w:r w:rsidRPr="00C148DF">
        <w:rPr>
          <w:rFonts w:ascii="Times New Roman" w:hAnsi="Times New Roman" w:cs="Times New Roman"/>
          <w:iCs/>
          <w:sz w:val="24"/>
          <w:szCs w:val="24"/>
        </w:rPr>
        <w:t>•</w:t>
      </w:r>
      <w:r w:rsidRPr="00C148DF">
        <w:rPr>
          <w:rFonts w:ascii="Times New Roman" w:hAnsi="Times New Roman" w:cs="Times New Roman"/>
          <w:iCs/>
          <w:sz w:val="24"/>
          <w:szCs w:val="24"/>
        </w:rPr>
        <w:tab/>
      </w:r>
      <w:proofErr w:type="spellStart"/>
      <w:r w:rsidRPr="00C148DF">
        <w:rPr>
          <w:rFonts w:ascii="Times New Roman" w:hAnsi="Times New Roman" w:cs="Times New Roman"/>
          <w:iCs/>
          <w:sz w:val="24"/>
          <w:szCs w:val="24"/>
        </w:rPr>
        <w:t>upresnené</w:t>
      </w:r>
      <w:proofErr w:type="spellEnd"/>
      <w:r w:rsidRPr="00C148DF">
        <w:rPr>
          <w:rFonts w:ascii="Times New Roman" w:hAnsi="Times New Roman" w:cs="Times New Roman"/>
          <w:iCs/>
          <w:sz w:val="24"/>
          <w:szCs w:val="24"/>
        </w:rPr>
        <w:t xml:space="preserve"> predpokladané maximálne zaťaženie v príslušnom časovom období,</w:t>
      </w:r>
    </w:p>
    <w:p w14:paraId="713B7DC3" w14:textId="77777777" w:rsidR="00B27340" w:rsidRPr="00C148DF" w:rsidRDefault="00B27340" w:rsidP="00003436">
      <w:pPr>
        <w:pStyle w:val="Zkladntext3"/>
        <w:spacing w:line="259" w:lineRule="auto"/>
        <w:ind w:left="709" w:hanging="283"/>
        <w:jc w:val="both"/>
        <w:rPr>
          <w:rFonts w:ascii="Times New Roman" w:hAnsi="Times New Roman" w:cs="Times New Roman"/>
          <w:iCs/>
          <w:sz w:val="24"/>
          <w:szCs w:val="24"/>
        </w:rPr>
      </w:pPr>
      <w:r w:rsidRPr="00C148DF">
        <w:rPr>
          <w:rFonts w:ascii="Times New Roman" w:hAnsi="Times New Roman" w:cs="Times New Roman"/>
          <w:iCs/>
          <w:sz w:val="24"/>
          <w:szCs w:val="24"/>
        </w:rPr>
        <w:t>•</w:t>
      </w:r>
      <w:r w:rsidRPr="00C148DF">
        <w:rPr>
          <w:rFonts w:ascii="Times New Roman" w:hAnsi="Times New Roman" w:cs="Times New Roman"/>
          <w:iCs/>
          <w:sz w:val="24"/>
          <w:szCs w:val="24"/>
        </w:rPr>
        <w:tab/>
        <w:t>očakávané dynamické zmeny zaťaženia v regulačnej oblasti (ES SR),</w:t>
      </w:r>
    </w:p>
    <w:p w14:paraId="125489C5" w14:textId="77777777" w:rsidR="00B27340" w:rsidRPr="00C148DF" w:rsidRDefault="00B27340" w:rsidP="00003436">
      <w:pPr>
        <w:pStyle w:val="Zkladntext3"/>
        <w:spacing w:line="259" w:lineRule="auto"/>
        <w:ind w:left="709" w:hanging="283"/>
        <w:jc w:val="both"/>
        <w:rPr>
          <w:rFonts w:ascii="Times New Roman" w:hAnsi="Times New Roman" w:cs="Times New Roman"/>
          <w:iCs/>
          <w:sz w:val="24"/>
          <w:szCs w:val="24"/>
        </w:rPr>
      </w:pPr>
      <w:r w:rsidRPr="00C148DF">
        <w:rPr>
          <w:rFonts w:ascii="Times New Roman" w:hAnsi="Times New Roman" w:cs="Times New Roman"/>
          <w:iCs/>
          <w:sz w:val="24"/>
          <w:szCs w:val="24"/>
        </w:rPr>
        <w:t>•</w:t>
      </w:r>
      <w:r w:rsidRPr="00C148DF">
        <w:rPr>
          <w:rFonts w:ascii="Times New Roman" w:hAnsi="Times New Roman" w:cs="Times New Roman"/>
          <w:iCs/>
          <w:sz w:val="24"/>
          <w:szCs w:val="24"/>
        </w:rPr>
        <w:tab/>
        <w:t>očakávané dynamické zmeny výroby OZE v regulačnej oblasti (ES SR),</w:t>
      </w:r>
    </w:p>
    <w:p w14:paraId="5035FBA5" w14:textId="77777777" w:rsidR="00B27340" w:rsidRPr="00C148DF" w:rsidRDefault="00B27340" w:rsidP="00003436">
      <w:pPr>
        <w:pStyle w:val="Zkladntext3"/>
        <w:spacing w:line="259" w:lineRule="auto"/>
        <w:ind w:left="709" w:hanging="283"/>
        <w:jc w:val="both"/>
        <w:rPr>
          <w:rFonts w:ascii="Times New Roman" w:hAnsi="Times New Roman" w:cs="Times New Roman"/>
          <w:iCs/>
          <w:sz w:val="24"/>
          <w:szCs w:val="24"/>
        </w:rPr>
      </w:pPr>
      <w:r w:rsidRPr="00C148DF">
        <w:rPr>
          <w:rFonts w:ascii="Times New Roman" w:hAnsi="Times New Roman" w:cs="Times New Roman"/>
          <w:iCs/>
          <w:sz w:val="24"/>
          <w:szCs w:val="24"/>
        </w:rPr>
        <w:t>•</w:t>
      </w:r>
      <w:r w:rsidRPr="00C148DF">
        <w:rPr>
          <w:rFonts w:ascii="Times New Roman" w:hAnsi="Times New Roman" w:cs="Times New Roman"/>
          <w:iCs/>
          <w:sz w:val="24"/>
          <w:szCs w:val="24"/>
        </w:rPr>
        <w:tab/>
        <w:t>pravdepodobnosť výpadku jednotlivých zariadení na výrobu elektriny (ES SR).</w:t>
      </w:r>
    </w:p>
    <w:p w14:paraId="4203C1CE"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 xml:space="preserve">Jednotlivé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sa zabezpečujú v rámci viacročného, ročného, mesačného a denného výberového konania, alebo na základe priamych dlhodobých zmlúv. Na každú obchodnú hodinu je vypočítaný požadovaný objem jednotlivých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potrebný pre zabezpečenie bezpečnej prevádzky sústavy. Príprava prevádzky obsahuje zoznam nasadených výrobných zariadení, nakúpené objemy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cenu regulačnej elektriny, plánované zapojenie PS po dohode so susednými prevádzkovateľmi PS a zapojenie distribučnej sústavy po dohode s prevádzkovateľmi distribučných sústav.</w:t>
      </w:r>
    </w:p>
    <w:p w14:paraId="252EE603"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 xml:space="preserve">Nariadenie Komisie (EÚ) č. 2017/2195, ktorým sa stanovuje usmernenie o zabezpečovaní rovnováhy v elektrizačnej sústave (GL EB), ktoré vstúpilo do platnosti dňa 18.12.2017, zavádza nové prvky v oblasti zabezpečovania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jednotnú štruktúru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a spôsob ich obstarania. Vývoj v oblasti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je  bližšie popísaný v kapitole 2.3. Podporné služby.</w:t>
      </w:r>
    </w:p>
    <w:p w14:paraId="133AC354"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 xml:space="preserve">Po analýze rôznych technických riešení sa do aplikačnej praxe zavádzajú niektoré varianty, ktoré pokrývajú nedostatok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Realizuje sa nákup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od susedných prevádzkovateľov PS, napr. nákup PRV z iných regulačných oblastí. Prostredníctvom aktualizácie Technických Podmienok SEPS (dokument B), sa pre </w:t>
      </w:r>
      <w:proofErr w:type="spellStart"/>
      <w:r w:rsidRPr="00C148DF">
        <w:rPr>
          <w:rFonts w:ascii="Times New Roman" w:hAnsi="Times New Roman" w:cs="Times New Roman"/>
          <w:sz w:val="24"/>
          <w:szCs w:val="24"/>
        </w:rPr>
        <w:t>PpS</w:t>
      </w:r>
      <w:proofErr w:type="spellEnd"/>
      <w:r w:rsidRPr="00C148DF">
        <w:rPr>
          <w:rFonts w:ascii="Times New Roman" w:hAnsi="Times New Roman" w:cs="Times New Roman"/>
          <w:sz w:val="24"/>
          <w:szCs w:val="24"/>
        </w:rPr>
        <w:t xml:space="preserve"> typu SRV otvorila možnosť ich poskytovania prostredníctvom virtuálnych blokov zariadení na výrobu elektriny. Pripravujú sa podmienky aj pre nových hráčov na energetickom trhu (</w:t>
      </w:r>
      <w:proofErr w:type="spellStart"/>
      <w:r w:rsidRPr="00C148DF">
        <w:rPr>
          <w:rFonts w:ascii="Times New Roman" w:hAnsi="Times New Roman" w:cs="Times New Roman"/>
          <w:sz w:val="24"/>
          <w:szCs w:val="24"/>
        </w:rPr>
        <w:t>agregátor</w:t>
      </w:r>
      <w:proofErr w:type="spellEnd"/>
      <w:r w:rsidRPr="00C148DF">
        <w:rPr>
          <w:rFonts w:ascii="Times New Roman" w:hAnsi="Times New Roman" w:cs="Times New Roman"/>
          <w:sz w:val="24"/>
          <w:szCs w:val="24"/>
        </w:rPr>
        <w:t>).</w:t>
      </w:r>
    </w:p>
    <w:p w14:paraId="506436DF"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 xml:space="preserve">Cezhraničné prenosy na účely dovozu a vývozu elektriny na úrovni prenosovej sústavy v rámci medzinárodnej energetickej spolupráce sa riadia dvoj a viacstrannými zmluvami medzi </w:t>
      </w:r>
      <w:r w:rsidRPr="00C148DF">
        <w:rPr>
          <w:rFonts w:ascii="Times New Roman" w:hAnsi="Times New Roman" w:cs="Times New Roman"/>
          <w:sz w:val="24"/>
          <w:szCs w:val="24"/>
        </w:rPr>
        <w:lastRenderedPageBreak/>
        <w:t>jednotlivými prevádzkovateľmi PS a ich oprávnenými subjektmi. V prípade ohrozenia prevádzkovej bezpečnosti sústavy môže dispečer využiť nákup havarijnej negarantovanej regulačnej elektriny zo zahraničia. V prípade havarijnej výpomoci zo susednej regulačnej oblasti sa nákup regulačnej elektriny uskutočňuje podľa zásad uvedených v zmluve o poskytnutí havarijnej výpomoci s príslušným susedným prevádzkovateľom PS.</w:t>
      </w:r>
    </w:p>
    <w:p w14:paraId="2F99DC2F"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Operatívne riadenie cezhraničných prenosov na účel dovozu a vývozu elektriny v rámci platných zmlúv a dohôd medzi SEPS a susednými prevádzkovateľmi PS, technické plnenie týchto zmlúv a dohôd a </w:t>
      </w:r>
      <w:proofErr w:type="spellStart"/>
      <w:r w:rsidRPr="00C148DF">
        <w:rPr>
          <w:rFonts w:ascii="Times New Roman" w:hAnsi="Times New Roman" w:cs="Times New Roman"/>
          <w:sz w:val="24"/>
          <w:szCs w:val="24"/>
        </w:rPr>
        <w:t>vnútrodenné</w:t>
      </w:r>
      <w:proofErr w:type="spellEnd"/>
      <w:r w:rsidRPr="00C148DF">
        <w:rPr>
          <w:rFonts w:ascii="Times New Roman" w:hAnsi="Times New Roman" w:cs="Times New Roman"/>
          <w:sz w:val="24"/>
          <w:szCs w:val="24"/>
        </w:rPr>
        <w:t xml:space="preserve"> zmeny prenosov na spojovacích vedeniach sú zabezpečované prostredníctvom SED.</w:t>
      </w:r>
    </w:p>
    <w:p w14:paraId="3CA0C261"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Všetky postupy pre riadenie cezhraničných prenosov, koordináciu vypínacích plánov spojovacích vedení, určovanie kapacít na spojovacích vedeniach, kontrolu a riadenie preťaženia sú v súlade s Rámcovou dohodou SAFA, Technickými podmienkami a Prevádzkovým poriadkom prevádzkovateľa PS. Prideľovanie prenosových kapacít na spojovacích vedeniach sa určuje na základe výpočtov prenosových kapacít so susediacimi prevádzkovateľmi PS a následného vzájomného odsúhlasenia, pričom platí menšia hodnota. Hodnoty prenosových kapacít sa určujú pre ročnú, mesačnú a dennú prípravu prevádzky. Prideľovanie kapacít sa vykonáva na základe bilaterálnych a multilaterálnych dohôd medzi prevádzkovateľmi PS. V prípade vypnutia prenosových prvkov sa určený objem cezhraničnej prenosovej kapacity prispôsobuje technickým podmienkam v sústave. Proces prideľovania prenosových kapacít je popísaný v kapitole 2.4 Alokácia prenosových kapacít na cezhraničných profiloch PS SR.</w:t>
      </w:r>
    </w:p>
    <w:p w14:paraId="098F17D1" w14:textId="77777777" w:rsidR="00B27340" w:rsidRPr="00C148DF" w:rsidRDefault="00B27340" w:rsidP="00003436">
      <w:pPr>
        <w:pStyle w:val="Nadpis1"/>
        <w:keepLines/>
        <w:numPr>
          <w:ilvl w:val="0"/>
          <w:numId w:val="12"/>
        </w:numPr>
        <w:spacing w:before="240" w:after="120" w:line="259" w:lineRule="auto"/>
        <w:ind w:left="431" w:hanging="431"/>
        <w:jc w:val="both"/>
        <w:rPr>
          <w:sz w:val="24"/>
          <w:szCs w:val="24"/>
        </w:rPr>
      </w:pPr>
      <w:bookmarkStart w:id="26" w:name="_Toc46594180"/>
      <w:r w:rsidRPr="00C148DF">
        <w:rPr>
          <w:sz w:val="24"/>
          <w:szCs w:val="24"/>
        </w:rPr>
        <w:t>Kvalita prenosu a úroveň údržby prenosovej sústavy</w:t>
      </w:r>
      <w:bookmarkEnd w:id="26"/>
    </w:p>
    <w:p w14:paraId="519158E8"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Súhrnné vyhodnotenie štandardov kvality prenosu elektriny za rok 2019 v zmysle §11 Vyhlášky ÚRSO č. 236/2016 Z. z. je zverejnené na webovom sídle prevádzkovateľa PS SR (ďalej len „Vyhodnotenie štandardov kvality SEPS“)</w:t>
      </w:r>
      <w:r w:rsidRPr="00C148DF">
        <w:rPr>
          <w:rStyle w:val="Odkaznapoznmkupodiarou"/>
          <w:rFonts w:ascii="Times New Roman" w:hAnsi="Times New Roman" w:cs="Times New Roman"/>
          <w:iCs/>
          <w:sz w:val="24"/>
          <w:szCs w:val="24"/>
        </w:rPr>
        <w:footnoteReference w:id="12"/>
      </w:r>
      <w:r w:rsidRPr="00C148DF">
        <w:rPr>
          <w:rFonts w:ascii="Times New Roman" w:hAnsi="Times New Roman" w:cs="Times New Roman"/>
          <w:sz w:val="24"/>
          <w:szCs w:val="24"/>
        </w:rPr>
        <w:t>.</w:t>
      </w:r>
    </w:p>
    <w:p w14:paraId="500CAE06" w14:textId="77777777" w:rsidR="00B27340" w:rsidRPr="00DB5342" w:rsidRDefault="00B27340" w:rsidP="00003436">
      <w:pPr>
        <w:pStyle w:val="Nadpis2"/>
        <w:numPr>
          <w:ilvl w:val="1"/>
          <w:numId w:val="12"/>
        </w:numPr>
        <w:spacing w:before="240" w:after="120" w:line="259" w:lineRule="auto"/>
        <w:ind w:left="578" w:hanging="578"/>
        <w:jc w:val="both"/>
        <w:rPr>
          <w:rFonts w:ascii="Times New Roman" w:hAnsi="Times New Roman" w:cs="Times New Roman"/>
          <w:b/>
          <w:color w:val="000000" w:themeColor="text1"/>
          <w:sz w:val="24"/>
          <w:szCs w:val="24"/>
        </w:rPr>
      </w:pPr>
      <w:bookmarkStart w:id="27" w:name="_Toc46594181"/>
      <w:r w:rsidRPr="00DB5342">
        <w:rPr>
          <w:rFonts w:ascii="Times New Roman" w:hAnsi="Times New Roman" w:cs="Times New Roman"/>
          <w:b/>
          <w:color w:val="000000" w:themeColor="text1"/>
          <w:sz w:val="24"/>
          <w:szCs w:val="24"/>
        </w:rPr>
        <w:t>Poruchovosť a štandardy kvality prenosu</w:t>
      </w:r>
      <w:bookmarkEnd w:id="27"/>
    </w:p>
    <w:p w14:paraId="117CEBAF" w14:textId="77777777" w:rsidR="00B27340" w:rsidRPr="00C148DF" w:rsidRDefault="00B27340" w:rsidP="00003436">
      <w:pPr>
        <w:pStyle w:val="Zkladntext3"/>
        <w:spacing w:line="259" w:lineRule="auto"/>
        <w:jc w:val="both"/>
        <w:rPr>
          <w:rFonts w:ascii="Times New Roman" w:hAnsi="Times New Roman" w:cs="Times New Roman"/>
          <w:iCs/>
          <w:sz w:val="24"/>
          <w:szCs w:val="24"/>
        </w:rPr>
      </w:pPr>
      <w:r w:rsidRPr="00C148DF">
        <w:rPr>
          <w:rFonts w:ascii="Times New Roman" w:hAnsi="Times New Roman" w:cs="Times New Roman"/>
          <w:iCs/>
          <w:sz w:val="24"/>
          <w:szCs w:val="24"/>
        </w:rPr>
        <w:t>V roku 2019 boli na zariadeniach prevádzkovateľa PS zaevidované celkom 3 poruchové vypnutia. Z toho 2 typu E1 - bez poškodenia zariadenia a 1 porucha typu E2 - s poškodením zariadenia. Pri všetkých poruchách došlo k obmedzeniu dodávky elektrickej energie zo strany prevádzkovateľa PS vo výške 25,35 </w:t>
      </w:r>
      <w:proofErr w:type="spellStart"/>
      <w:r w:rsidRPr="00C148DF">
        <w:rPr>
          <w:rFonts w:ascii="Times New Roman" w:hAnsi="Times New Roman" w:cs="Times New Roman"/>
          <w:iCs/>
          <w:sz w:val="24"/>
          <w:szCs w:val="24"/>
        </w:rPr>
        <w:t>MWh</w:t>
      </w:r>
      <w:proofErr w:type="spellEnd"/>
      <w:r w:rsidRPr="00C148DF">
        <w:rPr>
          <w:rFonts w:ascii="Times New Roman" w:hAnsi="Times New Roman" w:cs="Times New Roman"/>
          <w:iCs/>
          <w:sz w:val="24"/>
          <w:szCs w:val="24"/>
        </w:rPr>
        <w:t>.</w:t>
      </w:r>
    </w:p>
    <w:p w14:paraId="006A4157" w14:textId="32D9F08D" w:rsidR="00B27340" w:rsidRPr="00C148DF" w:rsidRDefault="00DB5342" w:rsidP="00003436">
      <w:pPr>
        <w:pStyle w:val="Zkladntext3"/>
        <w:spacing w:line="259" w:lineRule="auto"/>
        <w:jc w:val="both"/>
        <w:rPr>
          <w:rFonts w:ascii="Times New Roman" w:hAnsi="Times New Roman" w:cs="Times New Roman"/>
          <w:iCs/>
          <w:sz w:val="24"/>
          <w:szCs w:val="24"/>
        </w:rPr>
      </w:pP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Pr>
          <w:rFonts w:ascii="Times New Roman" w:hAnsi="Times New Roman" w:cs="Times New Roman"/>
          <w:iCs/>
          <w:sz w:val="24"/>
          <w:szCs w:val="24"/>
        </w:rPr>
        <w:br/>
      </w:r>
      <w:r w:rsidR="00B27340" w:rsidRPr="00C148DF">
        <w:rPr>
          <w:rFonts w:ascii="Times New Roman" w:hAnsi="Times New Roman" w:cs="Times New Roman"/>
          <w:iCs/>
          <w:sz w:val="24"/>
          <w:szCs w:val="24"/>
        </w:rPr>
        <w:lastRenderedPageBreak/>
        <w:t>Vývoj mernej poruchovosti zariadení PS a nedodanej elektriny prevádzkovateľom PS v období 2010 – 2019 je uvedený v grafoch na nasledujúcich</w:t>
      </w:r>
      <w:r w:rsidR="00B27340" w:rsidRPr="00C148DF" w:rsidDel="00A90E46">
        <w:rPr>
          <w:rFonts w:ascii="Times New Roman" w:hAnsi="Times New Roman" w:cs="Times New Roman"/>
          <w:iCs/>
          <w:sz w:val="24"/>
          <w:szCs w:val="24"/>
        </w:rPr>
        <w:t xml:space="preserve"> </w:t>
      </w:r>
      <w:r w:rsidR="00B27340" w:rsidRPr="00C148DF">
        <w:rPr>
          <w:rFonts w:ascii="Times New Roman" w:hAnsi="Times New Roman" w:cs="Times New Roman"/>
          <w:iCs/>
          <w:sz w:val="24"/>
          <w:szCs w:val="24"/>
        </w:rPr>
        <w:t>obrázkoch.</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B27340" w:rsidRPr="00C148DF" w14:paraId="08CDB5B9" w14:textId="77777777" w:rsidTr="00B27340">
        <w:tc>
          <w:tcPr>
            <w:tcW w:w="9062" w:type="dxa"/>
          </w:tcPr>
          <w:p w14:paraId="075952E4"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iCs/>
                <w:noProof/>
                <w:sz w:val="24"/>
                <w:szCs w:val="24"/>
                <w:lang w:eastAsia="sk-SK"/>
              </w:rPr>
              <w:drawing>
                <wp:inline distT="0" distB="0" distL="0" distR="0" wp14:anchorId="75B953D5" wp14:editId="61D20265">
                  <wp:extent cx="5297667" cy="1940642"/>
                  <wp:effectExtent l="0" t="0" r="0" b="254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23590" cy="1950138"/>
                          </a:xfrm>
                          <a:prstGeom prst="rect">
                            <a:avLst/>
                          </a:prstGeom>
                          <a:noFill/>
                        </pic:spPr>
                      </pic:pic>
                    </a:graphicData>
                  </a:graphic>
                </wp:inline>
              </w:drawing>
            </w:r>
          </w:p>
        </w:tc>
      </w:tr>
      <w:tr w:rsidR="00B27340" w:rsidRPr="00C148DF" w14:paraId="7B8D07AB" w14:textId="77777777" w:rsidTr="00B27340">
        <w:tc>
          <w:tcPr>
            <w:tcW w:w="9062" w:type="dxa"/>
          </w:tcPr>
          <w:p w14:paraId="56C11E5C"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r w:rsidRPr="00C148DF">
              <w:rPr>
                <w:rFonts w:ascii="Times New Roman" w:hAnsi="Times New Roman" w:cs="Times New Roman"/>
                <w:b/>
                <w:iCs/>
                <w:sz w:val="24"/>
                <w:szCs w:val="24"/>
              </w:rPr>
              <w:t xml:space="preserve">Obr. 7.1  </w:t>
            </w:r>
            <w:r w:rsidRPr="00C148DF">
              <w:rPr>
                <w:rFonts w:ascii="Times New Roman" w:hAnsi="Times New Roman" w:cs="Times New Roman"/>
                <w:iCs/>
                <w:sz w:val="24"/>
                <w:szCs w:val="24"/>
              </w:rPr>
              <w:t>Vývoj mernej poruchovosti v prenosovej sústave SR za roky 2010 až 2019</w:t>
            </w:r>
          </w:p>
          <w:p w14:paraId="49B68EB1" w14:textId="77777777" w:rsidR="00B27340" w:rsidRPr="00C148DF" w:rsidRDefault="00B27340" w:rsidP="00B27340">
            <w:pPr>
              <w:pStyle w:val="Zkladntext3"/>
              <w:spacing w:line="259" w:lineRule="auto"/>
              <w:jc w:val="center"/>
              <w:rPr>
                <w:rFonts w:ascii="Times New Roman" w:hAnsi="Times New Roman" w:cs="Times New Roman"/>
                <w:iCs/>
                <w:sz w:val="24"/>
                <w:szCs w:val="24"/>
              </w:rPr>
            </w:pPr>
          </w:p>
        </w:tc>
      </w:tr>
      <w:tr w:rsidR="00B27340" w:rsidRPr="00C148DF" w14:paraId="0E732D8F" w14:textId="77777777" w:rsidTr="00B27340">
        <w:tc>
          <w:tcPr>
            <w:tcW w:w="9062" w:type="dxa"/>
          </w:tcPr>
          <w:p w14:paraId="6C6C367C" w14:textId="77777777" w:rsidR="00B27340" w:rsidRPr="00C148DF" w:rsidRDefault="00B27340" w:rsidP="00B27340">
            <w:pPr>
              <w:pStyle w:val="Zkladntext3"/>
              <w:jc w:val="center"/>
              <w:rPr>
                <w:rFonts w:ascii="Times New Roman" w:hAnsi="Times New Roman" w:cs="Times New Roman"/>
                <w:iCs/>
                <w:sz w:val="24"/>
                <w:szCs w:val="24"/>
              </w:rPr>
            </w:pPr>
            <w:r w:rsidRPr="00C148DF">
              <w:rPr>
                <w:rFonts w:ascii="Times New Roman" w:hAnsi="Times New Roman" w:cs="Times New Roman"/>
                <w:iCs/>
                <w:noProof/>
                <w:sz w:val="24"/>
                <w:szCs w:val="24"/>
                <w:lang w:eastAsia="sk-SK"/>
              </w:rPr>
              <w:drawing>
                <wp:inline distT="0" distB="0" distL="0" distR="0" wp14:anchorId="50B2CBCF" wp14:editId="7641AC59">
                  <wp:extent cx="5348177" cy="1880474"/>
                  <wp:effectExtent l="0" t="0" r="5080" b="5715"/>
                  <wp:docPr id="225" name="Obrázo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1">
                            <a:extLst>
                              <a:ext uri="{28A0092B-C50C-407E-A947-70E740481C1C}">
                                <a14:useLocalDpi xmlns:a14="http://schemas.microsoft.com/office/drawing/2010/main" val="0"/>
                              </a:ext>
                            </a:extLst>
                          </a:blip>
                          <a:srcRect t="3807"/>
                          <a:stretch/>
                        </pic:blipFill>
                        <pic:spPr bwMode="auto">
                          <a:xfrm>
                            <a:off x="0" y="0"/>
                            <a:ext cx="5410281" cy="19023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7340" w:rsidRPr="00C148DF" w14:paraId="7AF97A4D" w14:textId="77777777" w:rsidTr="00B27340">
        <w:tc>
          <w:tcPr>
            <w:tcW w:w="9062" w:type="dxa"/>
          </w:tcPr>
          <w:p w14:paraId="73A779D3" w14:textId="77777777" w:rsidR="00B27340" w:rsidRPr="00C148DF" w:rsidRDefault="00B27340" w:rsidP="00B27340">
            <w:pPr>
              <w:pStyle w:val="Zkladntext3"/>
              <w:jc w:val="center"/>
              <w:rPr>
                <w:rFonts w:ascii="Times New Roman" w:hAnsi="Times New Roman" w:cs="Times New Roman"/>
                <w:iCs/>
                <w:sz w:val="24"/>
                <w:szCs w:val="24"/>
              </w:rPr>
            </w:pPr>
            <w:r w:rsidRPr="00C148DF">
              <w:rPr>
                <w:rFonts w:ascii="Times New Roman" w:hAnsi="Times New Roman" w:cs="Times New Roman"/>
                <w:b/>
                <w:iCs/>
                <w:sz w:val="24"/>
                <w:szCs w:val="24"/>
              </w:rPr>
              <w:t xml:space="preserve">Obr. 7.2  </w:t>
            </w:r>
            <w:r w:rsidRPr="00C148DF">
              <w:rPr>
                <w:rFonts w:ascii="Times New Roman" w:hAnsi="Times New Roman" w:cs="Times New Roman"/>
                <w:iCs/>
                <w:sz w:val="24"/>
                <w:szCs w:val="24"/>
              </w:rPr>
              <w:t>Vývoj nedodanej elektriny v prenosovej sústave SR za roky 2010 až 2019</w:t>
            </w:r>
          </w:p>
        </w:tc>
      </w:tr>
    </w:tbl>
    <w:p w14:paraId="4FD5D654" w14:textId="77777777" w:rsidR="00B27340" w:rsidRPr="00C148DF" w:rsidRDefault="00B27340" w:rsidP="00003436">
      <w:pPr>
        <w:pStyle w:val="Zkladntext3"/>
        <w:spacing w:before="120"/>
        <w:jc w:val="both"/>
        <w:rPr>
          <w:rFonts w:ascii="Times New Roman" w:hAnsi="Times New Roman" w:cs="Times New Roman"/>
          <w:iCs/>
          <w:sz w:val="24"/>
          <w:szCs w:val="24"/>
        </w:rPr>
      </w:pPr>
      <w:r w:rsidRPr="00C148DF">
        <w:rPr>
          <w:rFonts w:ascii="Times New Roman" w:hAnsi="Times New Roman" w:cs="Times New Roman"/>
          <w:iCs/>
          <w:sz w:val="24"/>
          <w:szCs w:val="24"/>
        </w:rPr>
        <w:t>Z grafov je zrejmé, že veľkosť nedodanej energie v PS nie je úmerná počtu porúch, ale závisí od množstva špecifických faktorov konkrétnej poruchy v PS.</w:t>
      </w:r>
    </w:p>
    <w:p w14:paraId="598C462E" w14:textId="77777777" w:rsidR="00B27340" w:rsidRPr="00C148DF" w:rsidRDefault="00B27340" w:rsidP="00003436">
      <w:pPr>
        <w:pStyle w:val="Zkladntext3"/>
        <w:spacing w:before="120"/>
        <w:jc w:val="both"/>
        <w:rPr>
          <w:rFonts w:ascii="Times New Roman" w:hAnsi="Times New Roman" w:cs="Times New Roman"/>
          <w:iCs/>
          <w:sz w:val="24"/>
          <w:szCs w:val="24"/>
        </w:rPr>
      </w:pPr>
      <w:r w:rsidRPr="00C148DF">
        <w:rPr>
          <w:rFonts w:ascii="Times New Roman" w:hAnsi="Times New Roman" w:cs="Times New Roman"/>
          <w:iCs/>
          <w:sz w:val="24"/>
          <w:szCs w:val="24"/>
        </w:rPr>
        <w:t>Údržba zariadení PS bola v predchádzajúcom období zabezpečovaná kontinuálne podľa vopred stanoveného harmonogramu zosúladeného s prípravou prevádzky, pri zohľadnení pravidelne monitorovaného, diagnostikovaného a vyhodnocovaného stavu zariadení PS (</w:t>
      </w:r>
      <w:proofErr w:type="spellStart"/>
      <w:r w:rsidRPr="00C148DF">
        <w:rPr>
          <w:rFonts w:ascii="Times New Roman" w:hAnsi="Times New Roman" w:cs="Times New Roman"/>
          <w:iCs/>
          <w:sz w:val="24"/>
          <w:szCs w:val="24"/>
        </w:rPr>
        <w:t>asset</w:t>
      </w:r>
      <w:proofErr w:type="spellEnd"/>
      <w:r w:rsidRPr="00C148DF">
        <w:rPr>
          <w:rFonts w:ascii="Times New Roman" w:hAnsi="Times New Roman" w:cs="Times New Roman"/>
          <w:iCs/>
          <w:sz w:val="24"/>
          <w:szCs w:val="24"/>
        </w:rPr>
        <w:t xml:space="preserve"> monitoring).</w:t>
      </w:r>
    </w:p>
    <w:p w14:paraId="756D419A"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V rámci prípravy prevádzky PS dochádza k maximálnej koordinácii vypínacích plánov s odstávkami výrobných zariadení. Je snaha, v čo možno najväčšej miere zabrániť zníženiu spoľahlivosti vyvedenia výkonov z jednotlivých výrobní. Táto oblasť je náročná hlavne pri vyvedení výkonu z jadrových elektrárni. Dôležitou časťou je zabezpečenie rezervného napájania vlastnej spotreby jadrových elektrární.</w:t>
      </w:r>
    </w:p>
    <w:p w14:paraId="7B7AAA8D"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Súčasne sa kladie dôraz aj na koordináciu vypínacích plánov zariadení SEPS s prevádzkovateľmi distribučných sústav tak, aby nedošlo k obmedzeniu, resp. k zníženiu bezpečnosti ich zásobovania, predovšetkým pri údržbe rozvodní elektrických staníc PS s transformačnou väzbou PS/DS napájaných len dvoma prenosovými vedeniami.</w:t>
      </w:r>
    </w:p>
    <w:p w14:paraId="2BEDDBEF"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lastRenderedPageBreak/>
        <w:t xml:space="preserve">Všetky strednodobé a dlhodobé investičné a rozvojové zámery prevádzkovateľa PS rešpektujú vyššie uvedené skutočnosti, týkajúce sa prípravy prevádzky, </w:t>
      </w:r>
      <w:proofErr w:type="spellStart"/>
      <w:r w:rsidRPr="00C148DF">
        <w:rPr>
          <w:rFonts w:ascii="Times New Roman" w:hAnsi="Times New Roman" w:cs="Times New Roman"/>
          <w:sz w:val="24"/>
          <w:szCs w:val="24"/>
        </w:rPr>
        <w:t>asset</w:t>
      </w:r>
      <w:proofErr w:type="spellEnd"/>
      <w:r w:rsidRPr="00C148DF">
        <w:rPr>
          <w:rFonts w:ascii="Times New Roman" w:hAnsi="Times New Roman" w:cs="Times New Roman"/>
          <w:sz w:val="24"/>
          <w:szCs w:val="24"/>
        </w:rPr>
        <w:t xml:space="preserve"> monitoringu zariadení PS a požiadavky pre zabezpečenie bezpečnej a spoľahlivej prevádzky ES SR v dlhodobom horizonte.</w:t>
      </w:r>
    </w:p>
    <w:p w14:paraId="5F1B2B47" w14:textId="77777777" w:rsidR="00B27340" w:rsidRPr="00DB5342" w:rsidRDefault="00B27340" w:rsidP="00003436">
      <w:pPr>
        <w:pStyle w:val="Nadpis2"/>
        <w:numPr>
          <w:ilvl w:val="1"/>
          <w:numId w:val="12"/>
        </w:numPr>
        <w:spacing w:before="240" w:after="120" w:line="259" w:lineRule="auto"/>
        <w:ind w:left="578" w:hanging="578"/>
        <w:jc w:val="both"/>
        <w:rPr>
          <w:rFonts w:ascii="Times New Roman" w:hAnsi="Times New Roman" w:cs="Times New Roman"/>
          <w:b/>
          <w:color w:val="000000" w:themeColor="text1"/>
          <w:sz w:val="24"/>
          <w:szCs w:val="24"/>
        </w:rPr>
      </w:pPr>
      <w:bookmarkStart w:id="28" w:name="_Toc46594182"/>
      <w:r w:rsidRPr="00DB5342">
        <w:rPr>
          <w:rFonts w:ascii="Times New Roman" w:hAnsi="Times New Roman" w:cs="Times New Roman"/>
          <w:b/>
          <w:color w:val="000000" w:themeColor="text1"/>
          <w:sz w:val="24"/>
          <w:szCs w:val="24"/>
        </w:rPr>
        <w:t>Vyhodnotenie parametrov kvality elektriny v PS</w:t>
      </w:r>
      <w:bookmarkEnd w:id="28"/>
    </w:p>
    <w:p w14:paraId="11C80EAE" w14:textId="77777777" w:rsidR="00DB5342" w:rsidRDefault="00B27340" w:rsidP="00DB5342">
      <w:pPr>
        <w:tabs>
          <w:tab w:val="left" w:pos="2835"/>
          <w:tab w:val="left" w:pos="4395"/>
          <w:tab w:val="left" w:pos="5954"/>
        </w:tabs>
        <w:spacing w:after="0"/>
        <w:jc w:val="both"/>
        <w:rPr>
          <w:rFonts w:ascii="Times New Roman" w:hAnsi="Times New Roman" w:cs="Times New Roman"/>
          <w:sz w:val="24"/>
          <w:szCs w:val="24"/>
        </w:rPr>
      </w:pPr>
      <w:r w:rsidRPr="00C148DF">
        <w:rPr>
          <w:rFonts w:ascii="Times New Roman" w:hAnsi="Times New Roman" w:cs="Times New Roman"/>
          <w:sz w:val="24"/>
          <w:szCs w:val="24"/>
        </w:rPr>
        <w:t>Na základe vyhodnotenia štandardov kvality prenosu elektriny vypracovaného v zmysle § 11 Vyhlášky ÚRSO č. 236/2016 Z. z. (Štandardy kvality prenosu elektriny, distribúcie elektriny a dodávky elektriny) je možné konštatovať, že v roku 2019 nebolo v SEPS evidované žiadne podanie užívateľa PS na nedodržanie kvality prenosu elektriny, a teda v roku 2019 nedošlo zo strany PPS k žiadnemu porušeniu povinne sledovaných ukazovateľov štandardov kvality. V roku 2019 sa realizoval systém merania a vyhodnocovania kvality elektriny v PS v súlade s Technickými podmienkami SEPS. Celková úroveň kvality elektriny v prenosovej sústave je na vysokej úrovni, nakoľko až 96,61 % z celkového množstva meraných vzoriek je v súlade s predpísanými limitnými</w:t>
      </w:r>
    </w:p>
    <w:p w14:paraId="7CA404FC" w14:textId="2AB4C358" w:rsidR="00B27340" w:rsidRPr="00B8646A" w:rsidRDefault="00B27340" w:rsidP="00DB5342">
      <w:pPr>
        <w:tabs>
          <w:tab w:val="left" w:pos="2835"/>
          <w:tab w:val="left" w:pos="4395"/>
          <w:tab w:val="left" w:pos="5954"/>
        </w:tabs>
        <w:spacing w:after="0"/>
        <w:rPr>
          <w:rFonts w:ascii="Times New Roman" w:hAnsi="Times New Roman" w:cs="Times New Roman"/>
          <w:b/>
          <w:color w:val="000000" w:themeColor="text1"/>
          <w:sz w:val="8"/>
          <w:szCs w:val="8"/>
        </w:rPr>
      </w:pPr>
      <w:r w:rsidRPr="00C148DF">
        <w:rPr>
          <w:rFonts w:ascii="Times New Roman" w:hAnsi="Times New Roman" w:cs="Times New Roman"/>
          <w:sz w:val="24"/>
          <w:szCs w:val="24"/>
        </w:rPr>
        <w:t>hodnotami kvality elektriny.</w:t>
      </w:r>
      <w:r w:rsidR="00DB5342">
        <w:rPr>
          <w:rFonts w:ascii="Times New Roman" w:hAnsi="Times New Roman" w:cs="Times New Roman"/>
          <w:sz w:val="24"/>
          <w:szCs w:val="24"/>
        </w:rPr>
        <w:t xml:space="preserve"> </w:t>
      </w:r>
      <w:r w:rsidR="00DB5342">
        <w:rPr>
          <w:rFonts w:ascii="Times New Roman" w:hAnsi="Times New Roman" w:cs="Times New Roman"/>
          <w:sz w:val="24"/>
          <w:szCs w:val="24"/>
        </w:rPr>
        <w:br/>
      </w:r>
      <w:r w:rsidR="00DB5342">
        <w:rPr>
          <w:rFonts w:ascii="Times New Roman" w:hAnsi="Times New Roman" w:cs="Times New Roman"/>
          <w:sz w:val="24"/>
          <w:szCs w:val="24"/>
        </w:rPr>
        <w:br/>
      </w:r>
      <w:bookmarkStart w:id="29" w:name="_Toc20482751"/>
      <w:bookmarkStart w:id="30" w:name="_Toc46594183"/>
      <w:r w:rsidRPr="00DB5342">
        <w:rPr>
          <w:rFonts w:ascii="Times New Roman" w:hAnsi="Times New Roman" w:cs="Times New Roman"/>
          <w:b/>
          <w:color w:val="000000" w:themeColor="text1"/>
          <w:sz w:val="24"/>
          <w:szCs w:val="24"/>
        </w:rPr>
        <w:t>Úlohy orgánov štátnej správy</w:t>
      </w:r>
      <w:bookmarkEnd w:id="29"/>
      <w:bookmarkEnd w:id="30"/>
      <w:r w:rsidRPr="00DB5342">
        <w:rPr>
          <w:rFonts w:ascii="Times New Roman" w:hAnsi="Times New Roman" w:cs="Times New Roman"/>
          <w:b/>
          <w:color w:val="000000" w:themeColor="text1"/>
          <w:sz w:val="24"/>
          <w:szCs w:val="24"/>
        </w:rPr>
        <w:t xml:space="preserve"> </w:t>
      </w:r>
      <w:r w:rsidR="00B8646A">
        <w:rPr>
          <w:rFonts w:ascii="Times New Roman" w:hAnsi="Times New Roman" w:cs="Times New Roman"/>
          <w:b/>
          <w:color w:val="000000" w:themeColor="text1"/>
          <w:sz w:val="24"/>
          <w:szCs w:val="24"/>
        </w:rPr>
        <w:br/>
      </w:r>
    </w:p>
    <w:p w14:paraId="3B6041A4" w14:textId="77777777" w:rsidR="00B27340" w:rsidRPr="00C148DF" w:rsidRDefault="00B27340" w:rsidP="00003436">
      <w:pPr>
        <w:jc w:val="both"/>
        <w:rPr>
          <w:rFonts w:ascii="Times New Roman" w:eastAsia="Calibri" w:hAnsi="Times New Roman" w:cs="Times New Roman"/>
          <w:b/>
          <w:caps/>
          <w:sz w:val="24"/>
          <w:szCs w:val="24"/>
        </w:rPr>
      </w:pPr>
      <w:r w:rsidRPr="00C148DF">
        <w:rPr>
          <w:rFonts w:ascii="Times New Roman" w:eastAsia="Calibri" w:hAnsi="Times New Roman" w:cs="Times New Roman"/>
          <w:sz w:val="24"/>
          <w:szCs w:val="24"/>
        </w:rPr>
        <w:t>Ministerstvo hospodárstva SR podľa zákona č. 251/2012 Z. z. o energetike a o zmene a doplnení niektorých zákonov zabezpečuje sledovanie dodržiavania bezpečnosti dodávky elektriny, prijíma opatrenia zamerané na zabezpečenie bezpečnosti dodávok elektriny, určuje rozsah kritérií technickej bezpečnosti sústavy a siete, rozhoduje o uplatnení opatrení, ak ide o ohrozenie bezpečnosti a spoľahlivosti prevádzky sústavy a siete. Uverejňuje každoročne do 31. júla správu o výsledkoch monitorovania bezpečnosti dodávok elektriny a o prijatých a predpokladaných opatreniach na riešenie bezpečnosti dodávok elektriny. Na žiadosť URSO vydáva stanovisko o ohrození bezpečnosti dodávok elektriny na vymedzenom území a na území Európskej únie podľa osobitného predpisu (Zákon č. 250/2012 o regulácii a o zmene a doplnení niektorých zákonov v znení neskorších predpisov).</w:t>
      </w:r>
    </w:p>
    <w:p w14:paraId="76C3016C" w14:textId="77777777" w:rsidR="00B27340" w:rsidRPr="00C148DF" w:rsidRDefault="00B27340" w:rsidP="00003436">
      <w:pPr>
        <w:pStyle w:val="Nadpis1"/>
        <w:ind w:left="431"/>
        <w:jc w:val="both"/>
        <w:rPr>
          <w:sz w:val="24"/>
          <w:szCs w:val="24"/>
        </w:rPr>
        <w:sectPr w:rsidR="00B27340" w:rsidRPr="00C148DF" w:rsidSect="007A5CEA">
          <w:pgSz w:w="11906" w:h="16838"/>
          <w:pgMar w:top="1418" w:right="851" w:bottom="1418" w:left="1418" w:header="708" w:footer="708" w:gutter="0"/>
          <w:cols w:space="708"/>
          <w:docGrid w:linePitch="360"/>
        </w:sectPr>
      </w:pPr>
    </w:p>
    <w:p w14:paraId="321A8C10" w14:textId="77777777" w:rsidR="00B27340" w:rsidRPr="00C148DF" w:rsidRDefault="00B27340" w:rsidP="00E1031B">
      <w:pPr>
        <w:pStyle w:val="Nadpis1"/>
        <w:spacing w:after="80"/>
        <w:ind w:left="431" w:hanging="431"/>
        <w:jc w:val="both"/>
        <w:rPr>
          <w:sz w:val="24"/>
          <w:szCs w:val="24"/>
        </w:rPr>
      </w:pPr>
      <w:bookmarkStart w:id="31" w:name="_Toc46594184"/>
      <w:r w:rsidRPr="00C148DF">
        <w:rPr>
          <w:sz w:val="24"/>
          <w:szCs w:val="24"/>
        </w:rPr>
        <w:lastRenderedPageBreak/>
        <w:t>Záver</w:t>
      </w:r>
      <w:bookmarkEnd w:id="31"/>
    </w:p>
    <w:p w14:paraId="3F7C1702" w14:textId="77777777" w:rsidR="00B27340" w:rsidRPr="00C148DF" w:rsidRDefault="00B27340" w:rsidP="00E1031B">
      <w:pPr>
        <w:spacing w:after="160"/>
        <w:jc w:val="both"/>
        <w:rPr>
          <w:rFonts w:ascii="Times New Roman" w:hAnsi="Times New Roman" w:cs="Times New Roman"/>
          <w:sz w:val="24"/>
          <w:szCs w:val="24"/>
        </w:rPr>
      </w:pPr>
      <w:r w:rsidRPr="00C148DF">
        <w:rPr>
          <w:rFonts w:ascii="Times New Roman" w:hAnsi="Times New Roman" w:cs="Times New Roman"/>
          <w:sz w:val="24"/>
          <w:szCs w:val="24"/>
        </w:rPr>
        <w:t xml:space="preserve">Prevádzka ES SR bola v predchádzajúcom roku bezpečná a spoľahlivá bez výraznejších obmedzení dodávok elektriny. </w:t>
      </w:r>
    </w:p>
    <w:p w14:paraId="168B6F5C" w14:textId="77777777" w:rsidR="00B27340" w:rsidRPr="00C148DF" w:rsidRDefault="00B27340" w:rsidP="00003436">
      <w:pPr>
        <w:jc w:val="both"/>
        <w:rPr>
          <w:rFonts w:ascii="Times New Roman" w:hAnsi="Times New Roman" w:cs="Times New Roman"/>
          <w:sz w:val="24"/>
          <w:szCs w:val="24"/>
        </w:rPr>
      </w:pPr>
      <w:r w:rsidRPr="00C148DF">
        <w:rPr>
          <w:rFonts w:ascii="Times New Roman" w:hAnsi="Times New Roman" w:cs="Times New Roman"/>
          <w:sz w:val="24"/>
          <w:szCs w:val="24"/>
        </w:rPr>
        <w:t xml:space="preserve">Globálny prepad hospodárskeho rastu z dôvodu pandémie COVID-19 má priamy dopad aj na vývoj spotreby elektriny. Na základe predpokladaného medziročného poklesu HDP SR o </w:t>
      </w:r>
      <w:r w:rsidRPr="00C148DF">
        <w:rPr>
          <w:rFonts w:ascii="Times New Roman" w:hAnsi="Times New Roman" w:cs="Times New Roman"/>
          <w:sz w:val="24"/>
          <w:szCs w:val="24"/>
        </w:rPr>
        <w:noBreakHyphen/>
        <w:t xml:space="preserve">10,3 %, podľa prognózy NBS, sa v roku 2020 očakáva pokles spotreby elektriny v SR na úrovni TNS  vo výške -1 801 </w:t>
      </w:r>
      <w:proofErr w:type="spellStart"/>
      <w:r w:rsidRPr="00C148DF">
        <w:rPr>
          <w:rFonts w:ascii="Times New Roman" w:hAnsi="Times New Roman" w:cs="Times New Roman"/>
          <w:sz w:val="24"/>
          <w:szCs w:val="24"/>
        </w:rPr>
        <w:t>GWh</w:t>
      </w:r>
      <w:proofErr w:type="spellEnd"/>
      <w:r w:rsidRPr="00C148DF">
        <w:rPr>
          <w:rFonts w:ascii="Times New Roman" w:hAnsi="Times New Roman" w:cs="Times New Roman"/>
          <w:sz w:val="24"/>
          <w:szCs w:val="24"/>
        </w:rPr>
        <w:t xml:space="preserve"> (-6,8 %). Zotavenie trendu vývoja spotreby elektriny na úroveň spred vypuknutia pandémie COVID-19 sa očakáva už v roku 2021. Výhľad spotreby elektriny v sledovanom období tejto správy predpokladá priemerný medziročný rast na úrovni 1,19 %. Podľa tohto predpokladu dosiahne celková brutto spotreba elektriny v roku 2035 hodnotu 36 615 </w:t>
      </w:r>
      <w:proofErr w:type="spellStart"/>
      <w:r w:rsidRPr="00C148DF">
        <w:rPr>
          <w:rFonts w:ascii="Times New Roman" w:hAnsi="Times New Roman" w:cs="Times New Roman"/>
          <w:sz w:val="24"/>
          <w:szCs w:val="24"/>
        </w:rPr>
        <w:t>GWh</w:t>
      </w:r>
      <w:proofErr w:type="spellEnd"/>
      <w:r w:rsidRPr="00C148DF">
        <w:rPr>
          <w:rFonts w:ascii="Times New Roman" w:hAnsi="Times New Roman" w:cs="Times New Roman"/>
          <w:sz w:val="24"/>
          <w:szCs w:val="24"/>
        </w:rPr>
        <w:t>, čo predstavuje celkový nárast +6 305 </w:t>
      </w:r>
      <w:proofErr w:type="spellStart"/>
      <w:r w:rsidRPr="00C148DF">
        <w:rPr>
          <w:rFonts w:ascii="Times New Roman" w:hAnsi="Times New Roman" w:cs="Times New Roman"/>
          <w:sz w:val="24"/>
          <w:szCs w:val="24"/>
        </w:rPr>
        <w:t>GWh</w:t>
      </w:r>
      <w:proofErr w:type="spellEnd"/>
      <w:r w:rsidRPr="00C148DF">
        <w:rPr>
          <w:rFonts w:ascii="Times New Roman" w:hAnsi="Times New Roman" w:cs="Times New Roman"/>
          <w:sz w:val="24"/>
          <w:szCs w:val="24"/>
        </w:rPr>
        <w:t xml:space="preserve"> (+21 %)  oproti roku 2019. </w:t>
      </w:r>
    </w:p>
    <w:p w14:paraId="7E3BE8C5" w14:textId="77777777" w:rsidR="00B27340" w:rsidRPr="00C148DF" w:rsidRDefault="00B27340" w:rsidP="00003436">
      <w:pPr>
        <w:jc w:val="both"/>
        <w:rPr>
          <w:rFonts w:ascii="Times New Roman" w:hAnsi="Times New Roman" w:cs="Times New Roman"/>
          <w:iCs/>
          <w:sz w:val="24"/>
          <w:szCs w:val="24"/>
        </w:rPr>
      </w:pPr>
      <w:r w:rsidRPr="00C148DF">
        <w:rPr>
          <w:rFonts w:ascii="Times New Roman" w:hAnsi="Times New Roman" w:cs="Times New Roman"/>
          <w:iCs/>
          <w:sz w:val="24"/>
          <w:szCs w:val="24"/>
        </w:rPr>
        <w:t xml:space="preserve">Za predpokladu, že nedôjde k neočakávaným zmenám vo vývoji zdrojového mixu SR oproti predpokladom uvedeným v kapitole 2.2, bude v ES SR dostatok výkonu pre pokrývanie očakávanej spotreby elektriny SR. Po spustení blokov 3 a 4 JE Mochovce (2x471 MW) dôjde k zmene bilančného charakteru sústavy z importnej (-5,6 %) na exportnú (rok 2025 +10,8 %), ktorá však bude vplyvom predpokladaného rastu spotreby elektriny a ďalším odstavením alebo náhradou fosílnych zdrojov pri výrobe elektriny klesať (rok 2035 +3,9 %). </w:t>
      </w:r>
    </w:p>
    <w:p w14:paraId="5B5DD14A" w14:textId="77777777" w:rsidR="00B27340" w:rsidRPr="00C148DF" w:rsidRDefault="00B27340" w:rsidP="00003436">
      <w:pPr>
        <w:jc w:val="both"/>
        <w:rPr>
          <w:rFonts w:ascii="Times New Roman" w:hAnsi="Times New Roman" w:cs="Times New Roman"/>
          <w:iCs/>
          <w:sz w:val="24"/>
          <w:szCs w:val="24"/>
        </w:rPr>
      </w:pPr>
      <w:r w:rsidRPr="00C148DF">
        <w:rPr>
          <w:rFonts w:ascii="Times New Roman" w:hAnsi="Times New Roman" w:cs="Times New Roman"/>
          <w:iCs/>
          <w:sz w:val="24"/>
          <w:szCs w:val="24"/>
        </w:rPr>
        <w:t>Do roku 2035 bude v sústave dostatok výkonu pre zaistenie zdrojovej dostatočnosti. Nárastom inštalovaného výkonu FVE a VTE môže v niektorých hodinách v sústave chýbať regulačný výkon.</w:t>
      </w:r>
    </w:p>
    <w:p w14:paraId="3932EA29" w14:textId="77777777" w:rsidR="00B27340" w:rsidRPr="00C148DF" w:rsidRDefault="00B27340" w:rsidP="00003436">
      <w:pPr>
        <w:jc w:val="both"/>
        <w:rPr>
          <w:rFonts w:ascii="Times New Roman" w:hAnsi="Times New Roman" w:cs="Times New Roman"/>
          <w:iCs/>
          <w:sz w:val="24"/>
          <w:szCs w:val="24"/>
        </w:rPr>
      </w:pPr>
      <w:r w:rsidRPr="00C148DF">
        <w:rPr>
          <w:rFonts w:ascii="Times New Roman" w:hAnsi="Times New Roman" w:cs="Times New Roman"/>
          <w:iCs/>
          <w:sz w:val="24"/>
          <w:szCs w:val="24"/>
        </w:rPr>
        <w:t xml:space="preserve">Bezpečnosť dodávok elektriny SR môže byť v sledovanom období ovplyvnená predovšetkým: </w:t>
      </w:r>
    </w:p>
    <w:p w14:paraId="714DFE68" w14:textId="77777777" w:rsidR="00B27340" w:rsidRPr="00C148DF" w:rsidRDefault="00B27340" w:rsidP="00E1031B">
      <w:pPr>
        <w:pStyle w:val="Zkladntext3"/>
        <w:numPr>
          <w:ilvl w:val="0"/>
          <w:numId w:val="11"/>
        </w:numPr>
        <w:autoSpaceDE w:val="0"/>
        <w:autoSpaceDN w:val="0"/>
        <w:adjustRightInd w:val="0"/>
        <w:spacing w:after="8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možným nárastom tranzitných a kruhových tokov elektriny, čo môže spôsobiť obsadenie prenosových kapacít vnútroštátnych, ale najmä cezhraničných vedení,</w:t>
      </w:r>
    </w:p>
    <w:p w14:paraId="5825E1FA" w14:textId="77777777" w:rsidR="00B27340" w:rsidRPr="00C148DF" w:rsidRDefault="00B27340" w:rsidP="00E1031B">
      <w:pPr>
        <w:pStyle w:val="Zkladntext3"/>
        <w:numPr>
          <w:ilvl w:val="0"/>
          <w:numId w:val="11"/>
        </w:numPr>
        <w:autoSpaceDE w:val="0"/>
        <w:autoSpaceDN w:val="0"/>
        <w:adjustRightInd w:val="0"/>
        <w:spacing w:after="8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 xml:space="preserve">avizovaným odstavením fosílnych elektrární, čo môže viesť k zníženiu disponibilného výrobného výkonu, </w:t>
      </w:r>
    </w:p>
    <w:p w14:paraId="405B19F3" w14:textId="77777777" w:rsidR="00B27340" w:rsidRPr="00C148DF" w:rsidRDefault="00B27340" w:rsidP="00E1031B">
      <w:pPr>
        <w:pStyle w:val="Zkladntext3"/>
        <w:numPr>
          <w:ilvl w:val="0"/>
          <w:numId w:val="11"/>
        </w:numPr>
        <w:autoSpaceDE w:val="0"/>
        <w:autoSpaceDN w:val="0"/>
        <w:adjustRightInd w:val="0"/>
        <w:spacing w:after="8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vývojom cien palív, emisií a elektriny,</w:t>
      </w:r>
    </w:p>
    <w:p w14:paraId="01FF48DC" w14:textId="77777777" w:rsidR="00B27340" w:rsidRPr="00C148DF" w:rsidRDefault="00B27340" w:rsidP="00E1031B">
      <w:pPr>
        <w:pStyle w:val="Zkladntext3"/>
        <w:numPr>
          <w:ilvl w:val="0"/>
          <w:numId w:val="11"/>
        </w:numPr>
        <w:autoSpaceDE w:val="0"/>
        <w:autoSpaceDN w:val="0"/>
        <w:adjustRightInd w:val="0"/>
        <w:spacing w:after="8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 xml:space="preserve">zjednotením trhu s podpornými službami v rámci Európy, </w:t>
      </w:r>
    </w:p>
    <w:p w14:paraId="399AE1A2" w14:textId="77777777" w:rsidR="00B27340" w:rsidRPr="00C148DF" w:rsidRDefault="00B27340" w:rsidP="00E1031B">
      <w:pPr>
        <w:pStyle w:val="Zkladntext3"/>
        <w:numPr>
          <w:ilvl w:val="0"/>
          <w:numId w:val="11"/>
        </w:numPr>
        <w:autoSpaceDE w:val="0"/>
        <w:autoSpaceDN w:val="0"/>
        <w:adjustRightInd w:val="0"/>
        <w:spacing w:after="8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nedostupnosťou výkonu v okolitých sústavách v dôsledku odstavovania najmä jadrových a uhoľných elektrární,</w:t>
      </w:r>
    </w:p>
    <w:p w14:paraId="05CEE929" w14:textId="77777777" w:rsidR="00B27340" w:rsidRPr="00C148DF" w:rsidRDefault="00B27340" w:rsidP="00E1031B">
      <w:pPr>
        <w:pStyle w:val="Zkladntext3"/>
        <w:numPr>
          <w:ilvl w:val="0"/>
          <w:numId w:val="11"/>
        </w:numPr>
        <w:autoSpaceDE w:val="0"/>
        <w:autoSpaceDN w:val="0"/>
        <w:adjustRightInd w:val="0"/>
        <w:spacing w:after="8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 xml:space="preserve">spôsobom a úrovňou plnenia stanovených cieľov EÚ v oblasti </w:t>
      </w:r>
      <w:proofErr w:type="spellStart"/>
      <w:r w:rsidRPr="00C148DF">
        <w:rPr>
          <w:rFonts w:ascii="Times New Roman" w:hAnsi="Times New Roman" w:cs="Times New Roman"/>
          <w:iCs/>
          <w:sz w:val="24"/>
          <w:szCs w:val="24"/>
        </w:rPr>
        <w:t>elektroenergetiky</w:t>
      </w:r>
      <w:proofErr w:type="spellEnd"/>
      <w:r w:rsidRPr="00C148DF">
        <w:rPr>
          <w:rFonts w:ascii="Times New Roman" w:hAnsi="Times New Roman" w:cs="Times New Roman"/>
          <w:iCs/>
          <w:sz w:val="24"/>
          <w:szCs w:val="24"/>
        </w:rPr>
        <w:t xml:space="preserve"> a ochrany klímy.</w:t>
      </w:r>
    </w:p>
    <w:p w14:paraId="6DD38430" w14:textId="77777777" w:rsidR="00B27340" w:rsidRPr="00C148DF" w:rsidRDefault="00B27340" w:rsidP="00E1031B">
      <w:pPr>
        <w:spacing w:after="80"/>
        <w:jc w:val="both"/>
        <w:rPr>
          <w:rFonts w:ascii="Times New Roman" w:hAnsi="Times New Roman" w:cs="Times New Roman"/>
          <w:sz w:val="24"/>
          <w:szCs w:val="24"/>
        </w:rPr>
      </w:pPr>
      <w:r w:rsidRPr="00C148DF">
        <w:rPr>
          <w:rFonts w:ascii="Times New Roman" w:hAnsi="Times New Roman" w:cs="Times New Roman"/>
          <w:sz w:val="24"/>
          <w:szCs w:val="24"/>
        </w:rPr>
        <w:t xml:space="preserve">Pre zaistenie bezpečnej a spoľahlivej prevádzky ES SR bude v rámci koordinovaného rozvoja sústavy dôležité: </w:t>
      </w:r>
    </w:p>
    <w:p w14:paraId="66830B6A" w14:textId="77777777" w:rsidR="00B27340" w:rsidRPr="00C148DF" w:rsidRDefault="00B27340" w:rsidP="00E1031B">
      <w:pPr>
        <w:pStyle w:val="Zkladntext3"/>
        <w:numPr>
          <w:ilvl w:val="0"/>
          <w:numId w:val="11"/>
        </w:numPr>
        <w:autoSpaceDE w:val="0"/>
        <w:autoSpaceDN w:val="0"/>
        <w:adjustRightInd w:val="0"/>
        <w:spacing w:after="8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dokončenie rozpracovaných projektov cezhraničných prepojení PS SR a súvisiacej vnútornej infraštruktúry ES SR,</w:t>
      </w:r>
    </w:p>
    <w:p w14:paraId="4C59C397" w14:textId="77777777" w:rsidR="00B27340" w:rsidRPr="00C148DF" w:rsidRDefault="00B27340" w:rsidP="00E1031B">
      <w:pPr>
        <w:pStyle w:val="Zkladntext3"/>
        <w:numPr>
          <w:ilvl w:val="0"/>
          <w:numId w:val="11"/>
        </w:numPr>
        <w:autoSpaceDE w:val="0"/>
        <w:autoSpaceDN w:val="0"/>
        <w:adjustRightInd w:val="0"/>
        <w:spacing w:after="8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obnova energetických zariadení PS SR v zmysle aktuálneho DPRPS,</w:t>
      </w:r>
    </w:p>
    <w:p w14:paraId="2AB148C8" w14:textId="77777777" w:rsidR="00B27340" w:rsidRPr="00C148DF" w:rsidRDefault="00B27340" w:rsidP="00E1031B">
      <w:pPr>
        <w:pStyle w:val="Zkladntext3"/>
        <w:numPr>
          <w:ilvl w:val="0"/>
          <w:numId w:val="11"/>
        </w:numPr>
        <w:autoSpaceDE w:val="0"/>
        <w:autoSpaceDN w:val="0"/>
        <w:adjustRightInd w:val="0"/>
        <w:spacing w:after="8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implementácia nových spoločných európskych sieťových predpisov a metodík v oblasti synchrónnej prevádzky prenosových sústav,</w:t>
      </w:r>
    </w:p>
    <w:p w14:paraId="6E41DAB9" w14:textId="77777777" w:rsidR="00B27340" w:rsidRPr="00C148DF" w:rsidRDefault="00B27340" w:rsidP="00E1031B">
      <w:pPr>
        <w:pStyle w:val="Zkladntext3"/>
        <w:numPr>
          <w:ilvl w:val="0"/>
          <w:numId w:val="11"/>
        </w:numPr>
        <w:autoSpaceDE w:val="0"/>
        <w:autoSpaceDN w:val="0"/>
        <w:adjustRightInd w:val="0"/>
        <w:spacing w:after="80" w:line="259" w:lineRule="auto"/>
        <w:ind w:left="714" w:hanging="357"/>
        <w:jc w:val="both"/>
        <w:rPr>
          <w:rFonts w:ascii="Times New Roman" w:hAnsi="Times New Roman" w:cs="Times New Roman"/>
          <w:iCs/>
          <w:sz w:val="24"/>
          <w:szCs w:val="24"/>
        </w:rPr>
      </w:pPr>
      <w:r w:rsidRPr="00C148DF">
        <w:rPr>
          <w:rFonts w:ascii="Times New Roman" w:hAnsi="Times New Roman" w:cs="Times New Roman"/>
          <w:iCs/>
          <w:sz w:val="24"/>
          <w:szCs w:val="24"/>
        </w:rPr>
        <w:t>zavedenie jednoznačnej a stabilnej koncepcie štátu aby bolo garantované stabilné ekonomické prostredie pre investorov.</w:t>
      </w:r>
    </w:p>
    <w:p w14:paraId="58B39BF2" w14:textId="7432EADA" w:rsidR="00B27340" w:rsidRPr="00C148DF" w:rsidRDefault="00B27340" w:rsidP="00003436">
      <w:pPr>
        <w:jc w:val="both"/>
        <w:rPr>
          <w:rFonts w:ascii="Times New Roman" w:hAnsi="Times New Roman" w:cs="Times New Roman"/>
          <w:b/>
          <w:sz w:val="24"/>
          <w:szCs w:val="24"/>
        </w:rPr>
      </w:pPr>
      <w:bookmarkStart w:id="32" w:name="_Toc46594185"/>
      <w:r w:rsidRPr="00C148DF">
        <w:rPr>
          <w:rFonts w:ascii="Times New Roman" w:hAnsi="Times New Roman" w:cs="Times New Roman"/>
          <w:b/>
          <w:sz w:val="24"/>
          <w:szCs w:val="24"/>
        </w:rPr>
        <w:lastRenderedPageBreak/>
        <w:t>Zoznam použitých skratiek</w:t>
      </w:r>
      <w:bookmarkEnd w:id="32"/>
    </w:p>
    <w:tbl>
      <w:tblPr>
        <w:tblStyle w:val="Mriekatabuky"/>
        <w:tblW w:w="9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7580"/>
      </w:tblGrid>
      <w:tr w:rsidR="00B27340" w:rsidRPr="00C148DF" w14:paraId="6A9FBA23" w14:textId="77777777" w:rsidTr="00B27340">
        <w:trPr>
          <w:trHeight w:val="300"/>
        </w:trPr>
        <w:tc>
          <w:tcPr>
            <w:tcW w:w="1979" w:type="dxa"/>
            <w:noWrap/>
            <w:vAlign w:val="center"/>
            <w:hideMark/>
          </w:tcPr>
          <w:p w14:paraId="7D72822E"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4M MC</w:t>
            </w:r>
          </w:p>
        </w:tc>
        <w:tc>
          <w:tcPr>
            <w:tcW w:w="7580" w:type="dxa"/>
            <w:noWrap/>
            <w:vAlign w:val="center"/>
            <w:hideMark/>
          </w:tcPr>
          <w:p w14:paraId="2CF914CD"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 xml:space="preserve">4M </w:t>
            </w:r>
            <w:proofErr w:type="spellStart"/>
            <w:r w:rsidRPr="00C148DF">
              <w:rPr>
                <w:rFonts w:ascii="Times New Roman" w:eastAsia="Times New Roman" w:hAnsi="Times New Roman" w:cs="Times New Roman"/>
                <w:sz w:val="24"/>
                <w:szCs w:val="24"/>
                <w:lang w:eastAsia="sk-SK"/>
              </w:rPr>
              <w:t>Market</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Coupling</w:t>
            </w:r>
            <w:proofErr w:type="spellEnd"/>
            <w:r w:rsidRPr="00C148DF">
              <w:rPr>
                <w:rFonts w:ascii="Times New Roman" w:eastAsia="Times New Roman" w:hAnsi="Times New Roman" w:cs="Times New Roman"/>
                <w:sz w:val="24"/>
                <w:szCs w:val="24"/>
                <w:lang w:eastAsia="sk-SK"/>
              </w:rPr>
              <w:t xml:space="preserve"> medzi Českou republikou, Slovenskom, Maďarskom a Rumunskom</w:t>
            </w:r>
          </w:p>
        </w:tc>
      </w:tr>
      <w:tr w:rsidR="00B27340" w:rsidRPr="00C148DF" w14:paraId="56951EEC" w14:textId="77777777" w:rsidTr="00B27340">
        <w:trPr>
          <w:trHeight w:val="300"/>
        </w:trPr>
        <w:tc>
          <w:tcPr>
            <w:tcW w:w="1979" w:type="dxa"/>
            <w:noWrap/>
            <w:vAlign w:val="center"/>
          </w:tcPr>
          <w:p w14:paraId="0CB4BD5D" w14:textId="77777777" w:rsidR="00B27340" w:rsidRPr="00C148DF" w:rsidDel="009E1619"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ACER</w:t>
            </w:r>
          </w:p>
        </w:tc>
        <w:tc>
          <w:tcPr>
            <w:tcW w:w="7580" w:type="dxa"/>
            <w:noWrap/>
            <w:vAlign w:val="center"/>
          </w:tcPr>
          <w:p w14:paraId="0CD15ACD"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Agency</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for</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the</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Cooperation</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of</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Energy</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Regulators</w:t>
            </w:r>
            <w:proofErr w:type="spellEnd"/>
          </w:p>
        </w:tc>
      </w:tr>
      <w:tr w:rsidR="00B27340" w:rsidRPr="00C148DF" w14:paraId="44A5BBFB" w14:textId="77777777" w:rsidTr="00B27340">
        <w:trPr>
          <w:trHeight w:val="300"/>
        </w:trPr>
        <w:tc>
          <w:tcPr>
            <w:tcW w:w="1979" w:type="dxa"/>
            <w:noWrap/>
            <w:vAlign w:val="center"/>
          </w:tcPr>
          <w:p w14:paraId="31D02345"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aFRR</w:t>
            </w:r>
            <w:proofErr w:type="spellEnd"/>
          </w:p>
        </w:tc>
        <w:tc>
          <w:tcPr>
            <w:tcW w:w="7580" w:type="dxa"/>
            <w:noWrap/>
            <w:vAlign w:val="center"/>
          </w:tcPr>
          <w:p w14:paraId="18E5D840"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Automated</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Frequency</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Restoration</w:t>
            </w:r>
            <w:proofErr w:type="spellEnd"/>
          </w:p>
        </w:tc>
      </w:tr>
      <w:tr w:rsidR="00B27340" w:rsidRPr="00C148DF" w14:paraId="3C0526FC" w14:textId="77777777" w:rsidTr="00B27340">
        <w:trPr>
          <w:trHeight w:val="300"/>
        </w:trPr>
        <w:tc>
          <w:tcPr>
            <w:tcW w:w="1979" w:type="dxa"/>
            <w:noWrap/>
            <w:vAlign w:val="center"/>
          </w:tcPr>
          <w:p w14:paraId="252976E2"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AT</w:t>
            </w:r>
          </w:p>
        </w:tc>
        <w:tc>
          <w:tcPr>
            <w:tcW w:w="7580" w:type="dxa"/>
            <w:noWrap/>
            <w:vAlign w:val="center"/>
          </w:tcPr>
          <w:p w14:paraId="42C288C1"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Rakúsko, medzinárodné označenie</w:t>
            </w:r>
          </w:p>
        </w:tc>
      </w:tr>
      <w:tr w:rsidR="00B27340" w:rsidRPr="00C148DF" w14:paraId="2B909E83" w14:textId="77777777" w:rsidTr="00B27340">
        <w:trPr>
          <w:trHeight w:val="300"/>
        </w:trPr>
        <w:tc>
          <w:tcPr>
            <w:tcW w:w="1979" w:type="dxa"/>
            <w:noWrap/>
            <w:vAlign w:val="center"/>
          </w:tcPr>
          <w:p w14:paraId="2CB56757"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BIDSF</w:t>
            </w:r>
          </w:p>
        </w:tc>
        <w:tc>
          <w:tcPr>
            <w:tcW w:w="7580" w:type="dxa"/>
            <w:noWrap/>
            <w:vAlign w:val="center"/>
          </w:tcPr>
          <w:p w14:paraId="464A4D9F"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 xml:space="preserve">Bohunice </w:t>
            </w:r>
            <w:proofErr w:type="spellStart"/>
            <w:r w:rsidRPr="00C148DF">
              <w:rPr>
                <w:rFonts w:ascii="Times New Roman" w:eastAsia="Times New Roman" w:hAnsi="Times New Roman" w:cs="Times New Roman"/>
                <w:sz w:val="24"/>
                <w:szCs w:val="24"/>
                <w:lang w:eastAsia="sk-SK"/>
              </w:rPr>
              <w:t>International</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Decommissioning</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Support</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Fund</w:t>
            </w:r>
            <w:proofErr w:type="spellEnd"/>
          </w:p>
        </w:tc>
      </w:tr>
      <w:tr w:rsidR="00B27340" w:rsidRPr="00C148DF" w14:paraId="56E4F6B5" w14:textId="77777777" w:rsidTr="00B27340">
        <w:trPr>
          <w:trHeight w:val="300"/>
        </w:trPr>
        <w:tc>
          <w:tcPr>
            <w:tcW w:w="1979" w:type="dxa"/>
            <w:noWrap/>
            <w:vAlign w:val="center"/>
            <w:hideMark/>
          </w:tcPr>
          <w:p w14:paraId="661DC195"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CACM</w:t>
            </w:r>
          </w:p>
        </w:tc>
        <w:tc>
          <w:tcPr>
            <w:tcW w:w="7580" w:type="dxa"/>
            <w:noWrap/>
            <w:vAlign w:val="center"/>
            <w:hideMark/>
          </w:tcPr>
          <w:p w14:paraId="1E986199"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Capacity</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Allocation</w:t>
            </w:r>
            <w:proofErr w:type="spellEnd"/>
            <w:r w:rsidRPr="00C148DF">
              <w:rPr>
                <w:rFonts w:ascii="Times New Roman" w:eastAsia="Times New Roman" w:hAnsi="Times New Roman" w:cs="Times New Roman"/>
                <w:sz w:val="24"/>
                <w:szCs w:val="24"/>
                <w:lang w:eastAsia="sk-SK"/>
              </w:rPr>
              <w:t xml:space="preserve"> and </w:t>
            </w:r>
            <w:proofErr w:type="spellStart"/>
            <w:r w:rsidRPr="00C148DF">
              <w:rPr>
                <w:rFonts w:ascii="Times New Roman" w:eastAsia="Times New Roman" w:hAnsi="Times New Roman" w:cs="Times New Roman"/>
                <w:sz w:val="24"/>
                <w:szCs w:val="24"/>
                <w:lang w:eastAsia="sk-SK"/>
              </w:rPr>
              <w:t>Congestion</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Management</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Guideline</w:t>
            </w:r>
            <w:proofErr w:type="spellEnd"/>
          </w:p>
        </w:tc>
      </w:tr>
      <w:tr w:rsidR="00B27340" w:rsidRPr="00C148DF" w14:paraId="4D915C9A" w14:textId="77777777" w:rsidTr="00B27340">
        <w:trPr>
          <w:trHeight w:val="300"/>
        </w:trPr>
        <w:tc>
          <w:tcPr>
            <w:tcW w:w="1979" w:type="dxa"/>
            <w:noWrap/>
            <w:vAlign w:val="center"/>
          </w:tcPr>
          <w:p w14:paraId="28D96C93"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CCE</w:t>
            </w:r>
          </w:p>
        </w:tc>
        <w:tc>
          <w:tcPr>
            <w:tcW w:w="7580" w:type="dxa"/>
            <w:noWrap/>
            <w:vAlign w:val="center"/>
          </w:tcPr>
          <w:p w14:paraId="38270FAE"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Continental</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Central</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East</w:t>
            </w:r>
            <w:proofErr w:type="spellEnd"/>
          </w:p>
        </w:tc>
      </w:tr>
      <w:tr w:rsidR="00B27340" w:rsidRPr="00C148DF" w14:paraId="1C0EDA88" w14:textId="77777777" w:rsidTr="00B27340">
        <w:trPr>
          <w:trHeight w:val="300"/>
        </w:trPr>
        <w:tc>
          <w:tcPr>
            <w:tcW w:w="1979" w:type="dxa"/>
            <w:noWrap/>
            <w:vAlign w:val="center"/>
            <w:hideMark/>
          </w:tcPr>
          <w:p w14:paraId="5C9A6A58"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CCR</w:t>
            </w:r>
          </w:p>
        </w:tc>
        <w:tc>
          <w:tcPr>
            <w:tcW w:w="7580" w:type="dxa"/>
            <w:noWrap/>
            <w:vAlign w:val="center"/>
            <w:hideMark/>
          </w:tcPr>
          <w:p w14:paraId="2AEE891D"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Capacity</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Calculation</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Region</w:t>
            </w:r>
            <w:proofErr w:type="spellEnd"/>
          </w:p>
        </w:tc>
      </w:tr>
      <w:tr w:rsidR="00B27340" w:rsidRPr="00C148DF" w14:paraId="0216726A" w14:textId="77777777" w:rsidTr="00B27340">
        <w:trPr>
          <w:trHeight w:val="300"/>
        </w:trPr>
        <w:tc>
          <w:tcPr>
            <w:tcW w:w="1979" w:type="dxa"/>
            <w:noWrap/>
            <w:vAlign w:val="center"/>
          </w:tcPr>
          <w:p w14:paraId="00E24157"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CORE</w:t>
            </w:r>
          </w:p>
        </w:tc>
        <w:tc>
          <w:tcPr>
            <w:tcW w:w="7580" w:type="dxa"/>
            <w:noWrap/>
            <w:vAlign w:val="center"/>
          </w:tcPr>
          <w:p w14:paraId="02F16759"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Región pre koordinovaný výpočet prenosových kapacít</w:t>
            </w:r>
          </w:p>
        </w:tc>
      </w:tr>
      <w:tr w:rsidR="00B27340" w:rsidRPr="00C148DF" w14:paraId="18B8970D" w14:textId="77777777" w:rsidTr="00B27340">
        <w:trPr>
          <w:trHeight w:val="300"/>
        </w:trPr>
        <w:tc>
          <w:tcPr>
            <w:tcW w:w="1979" w:type="dxa"/>
            <w:noWrap/>
            <w:vAlign w:val="center"/>
            <w:hideMark/>
          </w:tcPr>
          <w:p w14:paraId="32300A83"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CZ</w:t>
            </w:r>
          </w:p>
        </w:tc>
        <w:tc>
          <w:tcPr>
            <w:tcW w:w="7580" w:type="dxa"/>
            <w:noWrap/>
            <w:vAlign w:val="center"/>
            <w:hideMark/>
          </w:tcPr>
          <w:p w14:paraId="780FFF0D"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Česká republika, medzinárodné označenie</w:t>
            </w:r>
          </w:p>
        </w:tc>
      </w:tr>
      <w:tr w:rsidR="00B27340" w:rsidRPr="00C148DF" w14:paraId="66B90445" w14:textId="77777777" w:rsidTr="00B27340">
        <w:trPr>
          <w:trHeight w:val="300"/>
        </w:trPr>
        <w:tc>
          <w:tcPr>
            <w:tcW w:w="1979" w:type="dxa"/>
            <w:noWrap/>
            <w:vAlign w:val="center"/>
            <w:hideMark/>
          </w:tcPr>
          <w:p w14:paraId="7C8794D4"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ČEPS</w:t>
            </w:r>
          </w:p>
        </w:tc>
        <w:tc>
          <w:tcPr>
            <w:tcW w:w="7580" w:type="dxa"/>
            <w:noWrap/>
            <w:vAlign w:val="center"/>
            <w:hideMark/>
          </w:tcPr>
          <w:p w14:paraId="78657150"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Prevádzkovateľ prenosovej sústavy v Českej republike</w:t>
            </w:r>
          </w:p>
        </w:tc>
      </w:tr>
      <w:tr w:rsidR="00B27340" w:rsidRPr="00C148DF" w14:paraId="7448E898" w14:textId="77777777" w:rsidTr="00B27340">
        <w:trPr>
          <w:trHeight w:val="300"/>
        </w:trPr>
        <w:tc>
          <w:tcPr>
            <w:tcW w:w="1979" w:type="dxa"/>
            <w:noWrap/>
            <w:vAlign w:val="center"/>
          </w:tcPr>
          <w:p w14:paraId="62E5AECB"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ČOV</w:t>
            </w:r>
          </w:p>
        </w:tc>
        <w:tc>
          <w:tcPr>
            <w:tcW w:w="7580" w:type="dxa"/>
            <w:noWrap/>
            <w:vAlign w:val="center"/>
          </w:tcPr>
          <w:p w14:paraId="206F98E2"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Čistiareň odpadových vôd</w:t>
            </w:r>
          </w:p>
        </w:tc>
      </w:tr>
      <w:tr w:rsidR="00B27340" w:rsidRPr="00C148DF" w14:paraId="637A7F6F" w14:textId="77777777" w:rsidTr="00B27340">
        <w:trPr>
          <w:trHeight w:val="300"/>
        </w:trPr>
        <w:tc>
          <w:tcPr>
            <w:tcW w:w="1979" w:type="dxa"/>
            <w:noWrap/>
            <w:vAlign w:val="center"/>
            <w:hideMark/>
          </w:tcPr>
          <w:p w14:paraId="2C100EE6"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DACF</w:t>
            </w:r>
          </w:p>
        </w:tc>
        <w:tc>
          <w:tcPr>
            <w:tcW w:w="7580" w:type="dxa"/>
            <w:noWrap/>
            <w:vAlign w:val="center"/>
            <w:hideMark/>
          </w:tcPr>
          <w:p w14:paraId="7F1854CF"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Day-Ahead</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Congestion</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Forecast</w:t>
            </w:r>
            <w:proofErr w:type="spellEnd"/>
          </w:p>
        </w:tc>
      </w:tr>
      <w:tr w:rsidR="00B27340" w:rsidRPr="00C148DF" w14:paraId="6029B7A4" w14:textId="77777777" w:rsidTr="00B27340">
        <w:trPr>
          <w:trHeight w:val="300"/>
        </w:trPr>
        <w:tc>
          <w:tcPr>
            <w:tcW w:w="1979" w:type="dxa"/>
            <w:noWrap/>
            <w:vAlign w:val="center"/>
          </w:tcPr>
          <w:p w14:paraId="6D77B74A"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DE</w:t>
            </w:r>
          </w:p>
        </w:tc>
        <w:tc>
          <w:tcPr>
            <w:tcW w:w="7580" w:type="dxa"/>
            <w:noWrap/>
            <w:vAlign w:val="center"/>
          </w:tcPr>
          <w:p w14:paraId="24BF764A"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Nemecko</w:t>
            </w:r>
          </w:p>
        </w:tc>
      </w:tr>
      <w:tr w:rsidR="00B27340" w:rsidRPr="00C148DF" w14:paraId="77294EC2" w14:textId="77777777" w:rsidTr="00B27340">
        <w:trPr>
          <w:trHeight w:val="300"/>
        </w:trPr>
        <w:tc>
          <w:tcPr>
            <w:tcW w:w="1979" w:type="dxa"/>
            <w:noWrap/>
            <w:vAlign w:val="center"/>
          </w:tcPr>
          <w:p w14:paraId="3B7708B6"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DOPT</w:t>
            </w:r>
          </w:p>
        </w:tc>
        <w:tc>
          <w:tcPr>
            <w:tcW w:w="7580" w:type="dxa"/>
            <w:noWrap/>
            <w:vAlign w:val="center"/>
          </w:tcPr>
          <w:p w14:paraId="60960ACD"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Daily</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Operational</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Planning</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Teleconference</w:t>
            </w:r>
            <w:proofErr w:type="spellEnd"/>
          </w:p>
        </w:tc>
      </w:tr>
      <w:tr w:rsidR="00B27340" w:rsidRPr="00C148DF" w14:paraId="4507389C" w14:textId="77777777" w:rsidTr="00B27340">
        <w:trPr>
          <w:trHeight w:val="300"/>
        </w:trPr>
        <w:tc>
          <w:tcPr>
            <w:tcW w:w="1979" w:type="dxa"/>
            <w:noWrap/>
            <w:vAlign w:val="center"/>
          </w:tcPr>
          <w:p w14:paraId="06BF6516"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DS</w:t>
            </w:r>
          </w:p>
        </w:tc>
        <w:tc>
          <w:tcPr>
            <w:tcW w:w="7580" w:type="dxa"/>
            <w:noWrap/>
            <w:vAlign w:val="center"/>
          </w:tcPr>
          <w:p w14:paraId="7795B32A"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Distribučná sústava</w:t>
            </w:r>
          </w:p>
        </w:tc>
      </w:tr>
      <w:tr w:rsidR="00B27340" w:rsidRPr="00C148DF" w14:paraId="7527F1F3" w14:textId="77777777" w:rsidTr="00B27340">
        <w:trPr>
          <w:trHeight w:val="300"/>
        </w:trPr>
        <w:tc>
          <w:tcPr>
            <w:tcW w:w="1979" w:type="dxa"/>
            <w:noWrap/>
            <w:vAlign w:val="center"/>
            <w:hideMark/>
          </w:tcPr>
          <w:p w14:paraId="41139728"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EBGL</w:t>
            </w:r>
          </w:p>
        </w:tc>
        <w:tc>
          <w:tcPr>
            <w:tcW w:w="7580" w:type="dxa"/>
            <w:noWrap/>
            <w:vAlign w:val="center"/>
            <w:hideMark/>
          </w:tcPr>
          <w:p w14:paraId="279AB53F"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Electricity</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Balancing</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Guideline</w:t>
            </w:r>
            <w:proofErr w:type="spellEnd"/>
          </w:p>
        </w:tc>
      </w:tr>
      <w:tr w:rsidR="00B27340" w:rsidRPr="00C148DF" w14:paraId="5CE1007B" w14:textId="77777777" w:rsidTr="00B27340">
        <w:trPr>
          <w:trHeight w:val="300"/>
        </w:trPr>
        <w:tc>
          <w:tcPr>
            <w:tcW w:w="1979" w:type="dxa"/>
            <w:noWrap/>
            <w:vAlign w:val="center"/>
            <w:hideMark/>
          </w:tcPr>
          <w:p w14:paraId="1879DCBC"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EBO</w:t>
            </w:r>
          </w:p>
        </w:tc>
        <w:tc>
          <w:tcPr>
            <w:tcW w:w="7580" w:type="dxa"/>
            <w:noWrap/>
            <w:vAlign w:val="center"/>
            <w:hideMark/>
          </w:tcPr>
          <w:p w14:paraId="1615C987"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Elektráreň Jaslovské Bohunice</w:t>
            </w:r>
          </w:p>
        </w:tc>
      </w:tr>
      <w:tr w:rsidR="00B27340" w:rsidRPr="00C148DF" w14:paraId="12031848" w14:textId="77777777" w:rsidTr="00B27340">
        <w:trPr>
          <w:trHeight w:val="300"/>
        </w:trPr>
        <w:tc>
          <w:tcPr>
            <w:tcW w:w="1979" w:type="dxa"/>
            <w:noWrap/>
            <w:vAlign w:val="center"/>
          </w:tcPr>
          <w:p w14:paraId="3EDC509E"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e-GCC</w:t>
            </w:r>
            <w:proofErr w:type="spellEnd"/>
          </w:p>
        </w:tc>
        <w:tc>
          <w:tcPr>
            <w:tcW w:w="7580" w:type="dxa"/>
            <w:noWrap/>
            <w:vAlign w:val="center"/>
          </w:tcPr>
          <w:p w14:paraId="250D8063"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Grid</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Control</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Cooperation</w:t>
            </w:r>
            <w:proofErr w:type="spellEnd"/>
            <w:r w:rsidRPr="00C148DF">
              <w:rPr>
                <w:rFonts w:ascii="Times New Roman" w:eastAsia="Times New Roman" w:hAnsi="Times New Roman" w:cs="Times New Roman"/>
                <w:sz w:val="24"/>
                <w:szCs w:val="24"/>
                <w:lang w:eastAsia="sk-SK"/>
              </w:rPr>
              <w:t xml:space="preserve"> ČEPS, MAVIR, SEPS</w:t>
            </w:r>
          </w:p>
        </w:tc>
      </w:tr>
      <w:tr w:rsidR="00B27340" w:rsidRPr="00C148DF" w14:paraId="30C5BAF5" w14:textId="77777777" w:rsidTr="00B27340">
        <w:trPr>
          <w:trHeight w:val="300"/>
        </w:trPr>
        <w:tc>
          <w:tcPr>
            <w:tcW w:w="1979" w:type="dxa"/>
            <w:noWrap/>
            <w:vAlign w:val="center"/>
            <w:hideMark/>
          </w:tcPr>
          <w:p w14:paraId="1BC72C1E"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EMO</w:t>
            </w:r>
          </w:p>
        </w:tc>
        <w:tc>
          <w:tcPr>
            <w:tcW w:w="7580" w:type="dxa"/>
            <w:noWrap/>
            <w:vAlign w:val="center"/>
            <w:hideMark/>
          </w:tcPr>
          <w:p w14:paraId="42F449F3"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Elektráreň Mochovce</w:t>
            </w:r>
          </w:p>
        </w:tc>
      </w:tr>
      <w:tr w:rsidR="00B27340" w:rsidRPr="00C148DF" w14:paraId="0B8C62DE" w14:textId="77777777" w:rsidTr="00B27340">
        <w:trPr>
          <w:trHeight w:val="300"/>
        </w:trPr>
        <w:tc>
          <w:tcPr>
            <w:tcW w:w="1979" w:type="dxa"/>
            <w:noWrap/>
            <w:vAlign w:val="center"/>
            <w:hideMark/>
          </w:tcPr>
          <w:p w14:paraId="2CA20E04"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ENO</w:t>
            </w:r>
          </w:p>
        </w:tc>
        <w:tc>
          <w:tcPr>
            <w:tcW w:w="7580" w:type="dxa"/>
            <w:noWrap/>
            <w:vAlign w:val="center"/>
            <w:hideMark/>
          </w:tcPr>
          <w:p w14:paraId="60006E17"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Elektráreň Nováky</w:t>
            </w:r>
          </w:p>
        </w:tc>
      </w:tr>
      <w:tr w:rsidR="00B27340" w:rsidRPr="00C148DF" w14:paraId="28D02EFC" w14:textId="77777777" w:rsidTr="00B27340">
        <w:trPr>
          <w:trHeight w:val="300"/>
        </w:trPr>
        <w:tc>
          <w:tcPr>
            <w:tcW w:w="1979" w:type="dxa"/>
            <w:noWrap/>
            <w:vAlign w:val="center"/>
          </w:tcPr>
          <w:p w14:paraId="23B99174"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ENS</w:t>
            </w:r>
          </w:p>
        </w:tc>
        <w:tc>
          <w:tcPr>
            <w:tcW w:w="7580" w:type="dxa"/>
            <w:noWrap/>
            <w:vAlign w:val="center"/>
          </w:tcPr>
          <w:p w14:paraId="210DC877"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Energy</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Not</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Supplied</w:t>
            </w:r>
            <w:proofErr w:type="spellEnd"/>
          </w:p>
        </w:tc>
      </w:tr>
      <w:tr w:rsidR="00B27340" w:rsidRPr="00C148DF" w14:paraId="1D9F6279" w14:textId="77777777" w:rsidTr="00B27340">
        <w:trPr>
          <w:trHeight w:val="300"/>
        </w:trPr>
        <w:tc>
          <w:tcPr>
            <w:tcW w:w="1979" w:type="dxa"/>
            <w:noWrap/>
            <w:vAlign w:val="center"/>
            <w:hideMark/>
          </w:tcPr>
          <w:p w14:paraId="55A74466"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ENTSO-E</w:t>
            </w:r>
          </w:p>
        </w:tc>
        <w:tc>
          <w:tcPr>
            <w:tcW w:w="7580" w:type="dxa"/>
            <w:noWrap/>
            <w:vAlign w:val="center"/>
            <w:hideMark/>
          </w:tcPr>
          <w:p w14:paraId="0CF7E881"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European</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Network</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of</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Transmission</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System</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Operators</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for</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Electricity</w:t>
            </w:r>
            <w:proofErr w:type="spellEnd"/>
          </w:p>
        </w:tc>
      </w:tr>
      <w:tr w:rsidR="00B27340" w:rsidRPr="00C148DF" w14:paraId="4AE6965E" w14:textId="77777777" w:rsidTr="00B27340">
        <w:trPr>
          <w:trHeight w:val="300"/>
        </w:trPr>
        <w:tc>
          <w:tcPr>
            <w:tcW w:w="1979" w:type="dxa"/>
            <w:noWrap/>
            <w:vAlign w:val="center"/>
            <w:hideMark/>
          </w:tcPr>
          <w:p w14:paraId="06918BFC"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ES</w:t>
            </w:r>
          </w:p>
        </w:tc>
        <w:tc>
          <w:tcPr>
            <w:tcW w:w="7580" w:type="dxa"/>
            <w:noWrap/>
            <w:vAlign w:val="center"/>
            <w:hideMark/>
          </w:tcPr>
          <w:p w14:paraId="18B3F5BA"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Elektrizačná sústava</w:t>
            </w:r>
          </w:p>
        </w:tc>
      </w:tr>
      <w:tr w:rsidR="00B27340" w:rsidRPr="00C148DF" w14:paraId="6C79361E" w14:textId="77777777" w:rsidTr="00B27340">
        <w:trPr>
          <w:trHeight w:val="300"/>
        </w:trPr>
        <w:tc>
          <w:tcPr>
            <w:tcW w:w="1979" w:type="dxa"/>
            <w:noWrap/>
            <w:vAlign w:val="center"/>
            <w:hideMark/>
          </w:tcPr>
          <w:p w14:paraId="0B237E07"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ESt</w:t>
            </w:r>
            <w:proofErr w:type="spellEnd"/>
          </w:p>
        </w:tc>
        <w:tc>
          <w:tcPr>
            <w:tcW w:w="7580" w:type="dxa"/>
            <w:noWrap/>
            <w:vAlign w:val="center"/>
            <w:hideMark/>
          </w:tcPr>
          <w:p w14:paraId="6BA678E7"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Elektrická stanica</w:t>
            </w:r>
          </w:p>
        </w:tc>
      </w:tr>
      <w:tr w:rsidR="00B27340" w:rsidRPr="00C148DF" w14:paraId="24A9CBF8" w14:textId="77777777" w:rsidTr="00B27340">
        <w:trPr>
          <w:trHeight w:val="300"/>
        </w:trPr>
        <w:tc>
          <w:tcPr>
            <w:tcW w:w="1979" w:type="dxa"/>
            <w:noWrap/>
            <w:vAlign w:val="center"/>
            <w:hideMark/>
          </w:tcPr>
          <w:p w14:paraId="011E1503"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EÚ</w:t>
            </w:r>
          </w:p>
        </w:tc>
        <w:tc>
          <w:tcPr>
            <w:tcW w:w="7580" w:type="dxa"/>
            <w:noWrap/>
            <w:vAlign w:val="center"/>
            <w:hideMark/>
          </w:tcPr>
          <w:p w14:paraId="7A18CE28"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Európska únia</w:t>
            </w:r>
          </w:p>
        </w:tc>
      </w:tr>
      <w:tr w:rsidR="00B27340" w:rsidRPr="00C148DF" w14:paraId="37204EB6" w14:textId="77777777" w:rsidTr="00B27340">
        <w:trPr>
          <w:trHeight w:val="300"/>
        </w:trPr>
        <w:tc>
          <w:tcPr>
            <w:tcW w:w="1979" w:type="dxa"/>
            <w:noWrap/>
            <w:vAlign w:val="center"/>
            <w:hideMark/>
          </w:tcPr>
          <w:p w14:paraId="2102BCA4"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EVO</w:t>
            </w:r>
          </w:p>
        </w:tc>
        <w:tc>
          <w:tcPr>
            <w:tcW w:w="7580" w:type="dxa"/>
            <w:noWrap/>
            <w:vAlign w:val="center"/>
            <w:hideMark/>
          </w:tcPr>
          <w:p w14:paraId="010BA75D"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Elektráreň Vojany</w:t>
            </w:r>
          </w:p>
        </w:tc>
      </w:tr>
      <w:tr w:rsidR="00B27340" w:rsidRPr="00C148DF" w14:paraId="61ADC856" w14:textId="77777777" w:rsidTr="00B27340">
        <w:trPr>
          <w:trHeight w:val="300"/>
        </w:trPr>
        <w:tc>
          <w:tcPr>
            <w:tcW w:w="1979" w:type="dxa"/>
            <w:noWrap/>
            <w:vAlign w:val="center"/>
          </w:tcPr>
          <w:p w14:paraId="6D78713C"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FCFS</w:t>
            </w:r>
          </w:p>
        </w:tc>
        <w:tc>
          <w:tcPr>
            <w:tcW w:w="7580" w:type="dxa"/>
            <w:noWrap/>
            <w:vAlign w:val="center"/>
          </w:tcPr>
          <w:p w14:paraId="409CFD4A"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First</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Comes</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First</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Served</w:t>
            </w:r>
            <w:proofErr w:type="spellEnd"/>
            <w:r w:rsidRPr="00C148DF">
              <w:rPr>
                <w:rFonts w:ascii="Times New Roman" w:eastAsia="Times New Roman" w:hAnsi="Times New Roman" w:cs="Times New Roman"/>
                <w:sz w:val="24"/>
                <w:szCs w:val="24"/>
                <w:lang w:eastAsia="sk-SK"/>
              </w:rPr>
              <w:t xml:space="preserve"> – pozrieť</w:t>
            </w:r>
          </w:p>
        </w:tc>
      </w:tr>
      <w:tr w:rsidR="00B27340" w:rsidRPr="00C148DF" w14:paraId="32FD552C" w14:textId="77777777" w:rsidTr="00B27340">
        <w:trPr>
          <w:trHeight w:val="300"/>
        </w:trPr>
        <w:tc>
          <w:tcPr>
            <w:tcW w:w="1979" w:type="dxa"/>
            <w:noWrap/>
            <w:vAlign w:val="center"/>
            <w:hideMark/>
          </w:tcPr>
          <w:p w14:paraId="62EB7DE1"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FVE</w:t>
            </w:r>
          </w:p>
        </w:tc>
        <w:tc>
          <w:tcPr>
            <w:tcW w:w="7580" w:type="dxa"/>
            <w:noWrap/>
            <w:vAlign w:val="center"/>
            <w:hideMark/>
          </w:tcPr>
          <w:p w14:paraId="7F491D7E"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Fotovoltická</w:t>
            </w:r>
            <w:proofErr w:type="spellEnd"/>
            <w:r w:rsidRPr="00C148DF">
              <w:rPr>
                <w:rFonts w:ascii="Times New Roman" w:eastAsia="Times New Roman" w:hAnsi="Times New Roman" w:cs="Times New Roman"/>
                <w:sz w:val="24"/>
                <w:szCs w:val="24"/>
                <w:lang w:eastAsia="sk-SK"/>
              </w:rPr>
              <w:t xml:space="preserve"> elektráreň</w:t>
            </w:r>
          </w:p>
        </w:tc>
      </w:tr>
      <w:tr w:rsidR="00B27340" w:rsidRPr="00C148DF" w14:paraId="7502777A" w14:textId="77777777" w:rsidTr="00B27340">
        <w:trPr>
          <w:trHeight w:val="300"/>
        </w:trPr>
        <w:tc>
          <w:tcPr>
            <w:tcW w:w="1979" w:type="dxa"/>
            <w:noWrap/>
            <w:vAlign w:val="center"/>
            <w:hideMark/>
          </w:tcPr>
          <w:p w14:paraId="3BB95020"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GCC</w:t>
            </w:r>
          </w:p>
        </w:tc>
        <w:tc>
          <w:tcPr>
            <w:tcW w:w="7580" w:type="dxa"/>
            <w:noWrap/>
            <w:vAlign w:val="center"/>
            <w:hideMark/>
          </w:tcPr>
          <w:p w14:paraId="4F43BEFB"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Grid</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Control</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Cooperation</w:t>
            </w:r>
            <w:proofErr w:type="spellEnd"/>
          </w:p>
        </w:tc>
      </w:tr>
      <w:tr w:rsidR="00B27340" w:rsidRPr="00C148DF" w14:paraId="70C92DC9" w14:textId="77777777" w:rsidTr="00B27340">
        <w:trPr>
          <w:trHeight w:val="300"/>
        </w:trPr>
        <w:tc>
          <w:tcPr>
            <w:tcW w:w="1979" w:type="dxa"/>
            <w:noWrap/>
            <w:vAlign w:val="center"/>
            <w:hideMark/>
          </w:tcPr>
          <w:p w14:paraId="7AAE6A6B"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HDP</w:t>
            </w:r>
          </w:p>
        </w:tc>
        <w:tc>
          <w:tcPr>
            <w:tcW w:w="7580" w:type="dxa"/>
            <w:noWrap/>
            <w:vAlign w:val="center"/>
            <w:hideMark/>
          </w:tcPr>
          <w:p w14:paraId="103588AE"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Hrubý domáci produkt</w:t>
            </w:r>
          </w:p>
        </w:tc>
      </w:tr>
      <w:tr w:rsidR="00B27340" w:rsidRPr="00C148DF" w14:paraId="4A10E2AE" w14:textId="77777777" w:rsidTr="00B27340">
        <w:trPr>
          <w:trHeight w:val="300"/>
        </w:trPr>
        <w:tc>
          <w:tcPr>
            <w:tcW w:w="1979" w:type="dxa"/>
            <w:noWrap/>
            <w:vAlign w:val="center"/>
            <w:hideMark/>
          </w:tcPr>
          <w:p w14:paraId="70EE6929"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HU</w:t>
            </w:r>
          </w:p>
        </w:tc>
        <w:tc>
          <w:tcPr>
            <w:tcW w:w="7580" w:type="dxa"/>
            <w:noWrap/>
            <w:vAlign w:val="center"/>
            <w:hideMark/>
          </w:tcPr>
          <w:p w14:paraId="05452E61"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Maďarsko, medzinárodné označenie</w:t>
            </w:r>
          </w:p>
        </w:tc>
      </w:tr>
      <w:tr w:rsidR="00B27340" w:rsidRPr="00C148DF" w14:paraId="652AE5C8" w14:textId="77777777" w:rsidTr="00B27340">
        <w:trPr>
          <w:trHeight w:val="300"/>
        </w:trPr>
        <w:tc>
          <w:tcPr>
            <w:tcW w:w="1979" w:type="dxa"/>
            <w:noWrap/>
            <w:vAlign w:val="center"/>
            <w:hideMark/>
          </w:tcPr>
          <w:p w14:paraId="04D503D5"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IDCF</w:t>
            </w:r>
          </w:p>
        </w:tc>
        <w:tc>
          <w:tcPr>
            <w:tcW w:w="7580" w:type="dxa"/>
            <w:noWrap/>
            <w:vAlign w:val="center"/>
            <w:hideMark/>
          </w:tcPr>
          <w:p w14:paraId="7B00B4F4"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Intraday</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Congestion</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Forecast</w:t>
            </w:r>
            <w:proofErr w:type="spellEnd"/>
          </w:p>
        </w:tc>
      </w:tr>
      <w:tr w:rsidR="00B27340" w:rsidRPr="00C148DF" w14:paraId="3669CB10" w14:textId="77777777" w:rsidTr="00B27340">
        <w:trPr>
          <w:trHeight w:val="300"/>
        </w:trPr>
        <w:tc>
          <w:tcPr>
            <w:tcW w:w="1979" w:type="dxa"/>
            <w:noWrap/>
            <w:vAlign w:val="center"/>
          </w:tcPr>
          <w:p w14:paraId="39BE0E23"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iDOPT</w:t>
            </w:r>
            <w:proofErr w:type="spellEnd"/>
          </w:p>
        </w:tc>
        <w:tc>
          <w:tcPr>
            <w:tcW w:w="7580" w:type="dxa"/>
            <w:noWrap/>
            <w:vAlign w:val="center"/>
          </w:tcPr>
          <w:p w14:paraId="4B311E72"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intraDay</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Operational</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Planning</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Teleconference</w:t>
            </w:r>
            <w:proofErr w:type="spellEnd"/>
          </w:p>
        </w:tc>
      </w:tr>
      <w:tr w:rsidR="00B27340" w:rsidRPr="00C148DF" w14:paraId="24E1924C" w14:textId="77777777" w:rsidTr="00B27340">
        <w:trPr>
          <w:trHeight w:val="300"/>
        </w:trPr>
        <w:tc>
          <w:tcPr>
            <w:tcW w:w="1979" w:type="dxa"/>
            <w:noWrap/>
            <w:vAlign w:val="center"/>
          </w:tcPr>
          <w:p w14:paraId="13A001E0"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IGCC</w:t>
            </w:r>
          </w:p>
        </w:tc>
        <w:tc>
          <w:tcPr>
            <w:tcW w:w="7580" w:type="dxa"/>
            <w:noWrap/>
            <w:vAlign w:val="center"/>
          </w:tcPr>
          <w:p w14:paraId="7C74B8C7"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International</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Grid</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Control</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Cooperation</w:t>
            </w:r>
            <w:proofErr w:type="spellEnd"/>
          </w:p>
        </w:tc>
      </w:tr>
      <w:tr w:rsidR="00B27340" w:rsidRPr="00C148DF" w14:paraId="2D2C9697" w14:textId="77777777" w:rsidTr="00B27340">
        <w:trPr>
          <w:trHeight w:val="300"/>
        </w:trPr>
        <w:tc>
          <w:tcPr>
            <w:tcW w:w="1979" w:type="dxa"/>
            <w:noWrap/>
            <w:vAlign w:val="center"/>
          </w:tcPr>
          <w:p w14:paraId="7CB62594"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INECP</w:t>
            </w:r>
          </w:p>
        </w:tc>
        <w:tc>
          <w:tcPr>
            <w:tcW w:w="7580" w:type="dxa"/>
            <w:noWrap/>
            <w:vAlign w:val="center"/>
          </w:tcPr>
          <w:p w14:paraId="72CC92E7"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Integrovaný národný energetický a klimatický plán</w:t>
            </w:r>
          </w:p>
        </w:tc>
      </w:tr>
      <w:tr w:rsidR="00B27340" w:rsidRPr="00C148DF" w14:paraId="0B76D6A7" w14:textId="77777777" w:rsidTr="00B27340">
        <w:trPr>
          <w:trHeight w:val="300"/>
        </w:trPr>
        <w:tc>
          <w:tcPr>
            <w:tcW w:w="1979" w:type="dxa"/>
            <w:noWrap/>
            <w:vAlign w:val="center"/>
            <w:hideMark/>
          </w:tcPr>
          <w:p w14:paraId="2299DD46"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IPR</w:t>
            </w:r>
          </w:p>
        </w:tc>
        <w:tc>
          <w:tcPr>
            <w:tcW w:w="7580" w:type="dxa"/>
            <w:noWrap/>
            <w:vAlign w:val="center"/>
            <w:hideMark/>
          </w:tcPr>
          <w:p w14:paraId="03CA85AC"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Investičný projekt</w:t>
            </w:r>
          </w:p>
        </w:tc>
      </w:tr>
      <w:tr w:rsidR="00B27340" w:rsidRPr="00C148DF" w14:paraId="3152420A" w14:textId="77777777" w:rsidTr="00B27340">
        <w:trPr>
          <w:trHeight w:val="300"/>
        </w:trPr>
        <w:tc>
          <w:tcPr>
            <w:tcW w:w="1979" w:type="dxa"/>
            <w:noWrap/>
            <w:vAlign w:val="center"/>
            <w:hideMark/>
          </w:tcPr>
          <w:p w14:paraId="69157CDD"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JAO</w:t>
            </w:r>
          </w:p>
        </w:tc>
        <w:tc>
          <w:tcPr>
            <w:tcW w:w="7580" w:type="dxa"/>
            <w:noWrap/>
            <w:vAlign w:val="center"/>
            <w:hideMark/>
          </w:tcPr>
          <w:p w14:paraId="78640CF6"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Joint</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Allocation</w:t>
            </w:r>
            <w:proofErr w:type="spellEnd"/>
            <w:r w:rsidRPr="00C148DF">
              <w:rPr>
                <w:rFonts w:ascii="Times New Roman" w:eastAsia="Times New Roman" w:hAnsi="Times New Roman" w:cs="Times New Roman"/>
                <w:sz w:val="24"/>
                <w:szCs w:val="24"/>
                <w:lang w:eastAsia="sk-SK"/>
              </w:rPr>
              <w:t xml:space="preserve"> Office S.A.</w:t>
            </w:r>
          </w:p>
        </w:tc>
      </w:tr>
      <w:tr w:rsidR="00B27340" w:rsidRPr="00C148DF" w14:paraId="49C7D25D" w14:textId="77777777" w:rsidTr="00B27340">
        <w:trPr>
          <w:trHeight w:val="300"/>
        </w:trPr>
        <w:tc>
          <w:tcPr>
            <w:tcW w:w="1979" w:type="dxa"/>
            <w:noWrap/>
            <w:vAlign w:val="center"/>
          </w:tcPr>
          <w:p w14:paraId="3BBC3919"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JE</w:t>
            </w:r>
          </w:p>
        </w:tc>
        <w:tc>
          <w:tcPr>
            <w:tcW w:w="7580" w:type="dxa"/>
            <w:noWrap/>
            <w:vAlign w:val="center"/>
          </w:tcPr>
          <w:p w14:paraId="3EE74827"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Jadrová elektráreň</w:t>
            </w:r>
          </w:p>
        </w:tc>
      </w:tr>
      <w:tr w:rsidR="00B27340" w:rsidRPr="00C148DF" w14:paraId="60A418F5" w14:textId="77777777" w:rsidTr="00B27340">
        <w:trPr>
          <w:trHeight w:val="300"/>
        </w:trPr>
        <w:tc>
          <w:tcPr>
            <w:tcW w:w="1979" w:type="dxa"/>
            <w:noWrap/>
            <w:vAlign w:val="center"/>
          </w:tcPr>
          <w:p w14:paraId="11DE1D98"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KVET</w:t>
            </w:r>
          </w:p>
        </w:tc>
        <w:tc>
          <w:tcPr>
            <w:tcW w:w="7580" w:type="dxa"/>
            <w:noWrap/>
            <w:vAlign w:val="center"/>
          </w:tcPr>
          <w:p w14:paraId="1122019A"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Kombinovaná výroba elektriny a tepla</w:t>
            </w:r>
          </w:p>
        </w:tc>
      </w:tr>
      <w:tr w:rsidR="00B27340" w:rsidRPr="00C148DF" w14:paraId="123E62B0" w14:textId="77777777" w:rsidTr="00B27340">
        <w:trPr>
          <w:trHeight w:val="300"/>
        </w:trPr>
        <w:tc>
          <w:tcPr>
            <w:tcW w:w="1979" w:type="dxa"/>
            <w:noWrap/>
            <w:vAlign w:val="center"/>
          </w:tcPr>
          <w:p w14:paraId="125E48B2"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LOLE</w:t>
            </w:r>
          </w:p>
        </w:tc>
        <w:tc>
          <w:tcPr>
            <w:tcW w:w="7580" w:type="dxa"/>
            <w:noWrap/>
            <w:vAlign w:val="center"/>
          </w:tcPr>
          <w:p w14:paraId="46179866"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iCs/>
                <w:sz w:val="24"/>
                <w:szCs w:val="24"/>
                <w:lang w:eastAsia="cs-CZ"/>
              </w:rPr>
              <w:t>Loss</w:t>
            </w:r>
            <w:proofErr w:type="spellEnd"/>
            <w:r w:rsidRPr="00C148DF">
              <w:rPr>
                <w:rFonts w:ascii="Times New Roman" w:eastAsia="Times New Roman" w:hAnsi="Times New Roman" w:cs="Times New Roman"/>
                <w:iCs/>
                <w:sz w:val="24"/>
                <w:szCs w:val="24"/>
                <w:lang w:eastAsia="cs-CZ"/>
              </w:rPr>
              <w:t xml:space="preserve"> </w:t>
            </w:r>
            <w:proofErr w:type="spellStart"/>
            <w:r w:rsidRPr="00C148DF">
              <w:rPr>
                <w:rFonts w:ascii="Times New Roman" w:eastAsia="Times New Roman" w:hAnsi="Times New Roman" w:cs="Times New Roman"/>
                <w:iCs/>
                <w:sz w:val="24"/>
                <w:szCs w:val="24"/>
                <w:lang w:eastAsia="cs-CZ"/>
              </w:rPr>
              <w:t>of</w:t>
            </w:r>
            <w:proofErr w:type="spellEnd"/>
            <w:r w:rsidRPr="00C148DF">
              <w:rPr>
                <w:rFonts w:ascii="Times New Roman" w:eastAsia="Times New Roman" w:hAnsi="Times New Roman" w:cs="Times New Roman"/>
                <w:iCs/>
                <w:sz w:val="24"/>
                <w:szCs w:val="24"/>
                <w:lang w:eastAsia="cs-CZ"/>
              </w:rPr>
              <w:t xml:space="preserve"> </w:t>
            </w:r>
            <w:proofErr w:type="spellStart"/>
            <w:r w:rsidRPr="00C148DF">
              <w:rPr>
                <w:rFonts w:ascii="Times New Roman" w:eastAsia="Times New Roman" w:hAnsi="Times New Roman" w:cs="Times New Roman"/>
                <w:iCs/>
                <w:sz w:val="24"/>
                <w:szCs w:val="24"/>
                <w:lang w:eastAsia="cs-CZ"/>
              </w:rPr>
              <w:t>Load</w:t>
            </w:r>
            <w:proofErr w:type="spellEnd"/>
            <w:r w:rsidRPr="00C148DF">
              <w:rPr>
                <w:rFonts w:ascii="Times New Roman" w:eastAsia="Times New Roman" w:hAnsi="Times New Roman" w:cs="Times New Roman"/>
                <w:iCs/>
                <w:sz w:val="24"/>
                <w:szCs w:val="24"/>
                <w:lang w:eastAsia="cs-CZ"/>
              </w:rPr>
              <w:t xml:space="preserve"> </w:t>
            </w:r>
            <w:proofErr w:type="spellStart"/>
            <w:r w:rsidRPr="00C148DF">
              <w:rPr>
                <w:rFonts w:ascii="Times New Roman" w:eastAsia="Times New Roman" w:hAnsi="Times New Roman" w:cs="Times New Roman"/>
                <w:iCs/>
                <w:sz w:val="24"/>
                <w:szCs w:val="24"/>
                <w:lang w:eastAsia="cs-CZ"/>
              </w:rPr>
              <w:t>Expectation</w:t>
            </w:r>
            <w:proofErr w:type="spellEnd"/>
          </w:p>
        </w:tc>
      </w:tr>
      <w:tr w:rsidR="00B27340" w:rsidRPr="00C148DF" w14:paraId="66277F3C" w14:textId="77777777" w:rsidTr="00B27340">
        <w:trPr>
          <w:trHeight w:val="300"/>
        </w:trPr>
        <w:tc>
          <w:tcPr>
            <w:tcW w:w="1979" w:type="dxa"/>
            <w:noWrap/>
            <w:vAlign w:val="center"/>
            <w:hideMark/>
          </w:tcPr>
          <w:p w14:paraId="7E5CC769"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MAVIR</w:t>
            </w:r>
          </w:p>
        </w:tc>
        <w:tc>
          <w:tcPr>
            <w:tcW w:w="7580" w:type="dxa"/>
            <w:noWrap/>
            <w:vAlign w:val="center"/>
            <w:hideMark/>
          </w:tcPr>
          <w:p w14:paraId="485B004E"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Prevádzkovateľ prenosovej sústavy v Maďarsku</w:t>
            </w:r>
          </w:p>
        </w:tc>
      </w:tr>
      <w:tr w:rsidR="00B27340" w:rsidRPr="00C148DF" w14:paraId="567758E0" w14:textId="77777777" w:rsidTr="00B27340">
        <w:trPr>
          <w:trHeight w:val="300"/>
        </w:trPr>
        <w:tc>
          <w:tcPr>
            <w:tcW w:w="1979" w:type="dxa"/>
            <w:noWrap/>
            <w:vAlign w:val="center"/>
            <w:hideMark/>
          </w:tcPr>
          <w:p w14:paraId="144904E7"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MC</w:t>
            </w:r>
          </w:p>
        </w:tc>
        <w:tc>
          <w:tcPr>
            <w:tcW w:w="7580" w:type="dxa"/>
            <w:noWrap/>
            <w:vAlign w:val="center"/>
            <w:hideMark/>
          </w:tcPr>
          <w:p w14:paraId="504DDF2B"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Market</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Coupling</w:t>
            </w:r>
            <w:proofErr w:type="spellEnd"/>
          </w:p>
        </w:tc>
      </w:tr>
      <w:tr w:rsidR="00B27340" w:rsidRPr="00C148DF" w14:paraId="397F8017" w14:textId="77777777" w:rsidTr="00B27340">
        <w:trPr>
          <w:trHeight w:val="300"/>
        </w:trPr>
        <w:tc>
          <w:tcPr>
            <w:tcW w:w="1979" w:type="dxa"/>
            <w:noWrap/>
            <w:vAlign w:val="center"/>
            <w:hideMark/>
          </w:tcPr>
          <w:p w14:paraId="3B996490"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MH SR</w:t>
            </w:r>
          </w:p>
        </w:tc>
        <w:tc>
          <w:tcPr>
            <w:tcW w:w="7580" w:type="dxa"/>
            <w:noWrap/>
            <w:vAlign w:val="center"/>
            <w:hideMark/>
          </w:tcPr>
          <w:p w14:paraId="06B3C454"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Ministerstvo hospodárstva Slovenskej republiky</w:t>
            </w:r>
          </w:p>
        </w:tc>
      </w:tr>
      <w:tr w:rsidR="00B27340" w:rsidRPr="00C148DF" w14:paraId="2CCBE751" w14:textId="77777777" w:rsidTr="00B27340">
        <w:trPr>
          <w:trHeight w:val="300"/>
        </w:trPr>
        <w:tc>
          <w:tcPr>
            <w:tcW w:w="1979" w:type="dxa"/>
            <w:noWrap/>
            <w:vAlign w:val="center"/>
          </w:tcPr>
          <w:p w14:paraId="6B61C752"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lastRenderedPageBreak/>
              <w:t>MRC</w:t>
            </w:r>
          </w:p>
        </w:tc>
        <w:tc>
          <w:tcPr>
            <w:tcW w:w="7580" w:type="dxa"/>
            <w:noWrap/>
            <w:vAlign w:val="center"/>
          </w:tcPr>
          <w:p w14:paraId="2128943F"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Multi</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Regional</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Coupling</w:t>
            </w:r>
            <w:proofErr w:type="spellEnd"/>
          </w:p>
        </w:tc>
      </w:tr>
      <w:tr w:rsidR="00B27340" w:rsidRPr="00C148DF" w14:paraId="362C0A94" w14:textId="77777777" w:rsidTr="00B27340">
        <w:trPr>
          <w:trHeight w:val="300"/>
        </w:trPr>
        <w:tc>
          <w:tcPr>
            <w:tcW w:w="1979" w:type="dxa"/>
            <w:noWrap/>
            <w:vAlign w:val="center"/>
            <w:hideMark/>
          </w:tcPr>
          <w:p w14:paraId="2575CB45"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MVE</w:t>
            </w:r>
          </w:p>
        </w:tc>
        <w:tc>
          <w:tcPr>
            <w:tcW w:w="7580" w:type="dxa"/>
            <w:noWrap/>
            <w:vAlign w:val="center"/>
            <w:hideMark/>
          </w:tcPr>
          <w:p w14:paraId="3303DC6D"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Malá vodná elektráreň</w:t>
            </w:r>
          </w:p>
        </w:tc>
      </w:tr>
      <w:tr w:rsidR="00B27340" w:rsidRPr="00C148DF" w14:paraId="51B6C72A" w14:textId="77777777" w:rsidTr="00B27340">
        <w:trPr>
          <w:trHeight w:val="300"/>
        </w:trPr>
        <w:tc>
          <w:tcPr>
            <w:tcW w:w="1979" w:type="dxa"/>
            <w:noWrap/>
            <w:vAlign w:val="center"/>
            <w:hideMark/>
          </w:tcPr>
          <w:p w14:paraId="529EA675"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NJZ</w:t>
            </w:r>
          </w:p>
        </w:tc>
        <w:tc>
          <w:tcPr>
            <w:tcW w:w="7580" w:type="dxa"/>
            <w:noWrap/>
            <w:vAlign w:val="center"/>
            <w:hideMark/>
          </w:tcPr>
          <w:p w14:paraId="2B64B66A"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Nový jadrový zdroj</w:t>
            </w:r>
          </w:p>
        </w:tc>
      </w:tr>
      <w:tr w:rsidR="00B27340" w:rsidRPr="00C148DF" w14:paraId="205FD382" w14:textId="77777777" w:rsidTr="00B27340">
        <w:trPr>
          <w:trHeight w:val="300"/>
        </w:trPr>
        <w:tc>
          <w:tcPr>
            <w:tcW w:w="1979" w:type="dxa"/>
            <w:noWrap/>
            <w:vAlign w:val="center"/>
          </w:tcPr>
          <w:p w14:paraId="6C037B1C"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NRE</w:t>
            </w:r>
          </w:p>
        </w:tc>
        <w:tc>
          <w:tcPr>
            <w:tcW w:w="7580" w:type="dxa"/>
            <w:noWrap/>
            <w:vAlign w:val="center"/>
          </w:tcPr>
          <w:p w14:paraId="5C96CDBE"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Negarantovaná regulačná elektrina</w:t>
            </w:r>
          </w:p>
        </w:tc>
      </w:tr>
      <w:tr w:rsidR="00B27340" w:rsidRPr="00C148DF" w14:paraId="02DFD39A" w14:textId="77777777" w:rsidTr="00B27340">
        <w:trPr>
          <w:trHeight w:val="300"/>
        </w:trPr>
        <w:tc>
          <w:tcPr>
            <w:tcW w:w="1979" w:type="dxa"/>
            <w:noWrap/>
            <w:vAlign w:val="center"/>
          </w:tcPr>
          <w:p w14:paraId="1741E1C5"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OFZ</w:t>
            </w:r>
          </w:p>
        </w:tc>
        <w:tc>
          <w:tcPr>
            <w:tcW w:w="7580" w:type="dxa"/>
            <w:noWrap/>
            <w:vAlign w:val="center"/>
          </w:tcPr>
          <w:p w14:paraId="557EF73D"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 xml:space="preserve">Oravské </w:t>
            </w:r>
            <w:proofErr w:type="spellStart"/>
            <w:r w:rsidRPr="00C148DF">
              <w:rPr>
                <w:rFonts w:ascii="Times New Roman" w:eastAsia="Times New Roman" w:hAnsi="Times New Roman" w:cs="Times New Roman"/>
                <w:sz w:val="24"/>
                <w:szCs w:val="24"/>
                <w:lang w:eastAsia="sk-SK"/>
              </w:rPr>
              <w:t>ferozliatinové</w:t>
            </w:r>
            <w:proofErr w:type="spellEnd"/>
            <w:r w:rsidRPr="00C148DF">
              <w:rPr>
                <w:rFonts w:ascii="Times New Roman" w:eastAsia="Times New Roman" w:hAnsi="Times New Roman" w:cs="Times New Roman"/>
                <w:sz w:val="24"/>
                <w:szCs w:val="24"/>
                <w:lang w:eastAsia="sk-SK"/>
              </w:rPr>
              <w:t xml:space="preserve"> závody, a.s.</w:t>
            </w:r>
          </w:p>
        </w:tc>
      </w:tr>
      <w:tr w:rsidR="00B27340" w:rsidRPr="00C148DF" w14:paraId="3AE72796" w14:textId="77777777" w:rsidTr="00B27340">
        <w:trPr>
          <w:trHeight w:val="300"/>
        </w:trPr>
        <w:tc>
          <w:tcPr>
            <w:tcW w:w="1979" w:type="dxa"/>
            <w:noWrap/>
            <w:vAlign w:val="center"/>
          </w:tcPr>
          <w:p w14:paraId="5FC578C2"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OKTE</w:t>
            </w:r>
          </w:p>
        </w:tc>
        <w:tc>
          <w:tcPr>
            <w:tcW w:w="7580" w:type="dxa"/>
            <w:noWrap/>
            <w:vAlign w:val="center"/>
          </w:tcPr>
          <w:p w14:paraId="35B6A510"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Organizátor krátkodobého trhu s elektrinou</w:t>
            </w:r>
          </w:p>
        </w:tc>
      </w:tr>
      <w:tr w:rsidR="00B27340" w:rsidRPr="00C148DF" w14:paraId="7946BE53" w14:textId="77777777" w:rsidTr="00B27340">
        <w:trPr>
          <w:trHeight w:val="300"/>
        </w:trPr>
        <w:tc>
          <w:tcPr>
            <w:tcW w:w="1979" w:type="dxa"/>
            <w:noWrap/>
            <w:vAlign w:val="center"/>
            <w:hideMark/>
          </w:tcPr>
          <w:p w14:paraId="50E677FD"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OZE</w:t>
            </w:r>
          </w:p>
        </w:tc>
        <w:tc>
          <w:tcPr>
            <w:tcW w:w="7580" w:type="dxa"/>
            <w:noWrap/>
            <w:vAlign w:val="center"/>
            <w:hideMark/>
          </w:tcPr>
          <w:p w14:paraId="3495FE3A"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Obnoviteľné zdroje energie</w:t>
            </w:r>
          </w:p>
        </w:tc>
      </w:tr>
      <w:tr w:rsidR="00B27340" w:rsidRPr="00C148DF" w14:paraId="71E2A5DD" w14:textId="77777777" w:rsidTr="00B27340">
        <w:trPr>
          <w:trHeight w:val="300"/>
        </w:trPr>
        <w:tc>
          <w:tcPr>
            <w:tcW w:w="1979" w:type="dxa"/>
            <w:noWrap/>
            <w:vAlign w:val="center"/>
            <w:hideMark/>
          </w:tcPr>
          <w:p w14:paraId="2A006C64"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PDS</w:t>
            </w:r>
          </w:p>
        </w:tc>
        <w:tc>
          <w:tcPr>
            <w:tcW w:w="7580" w:type="dxa"/>
            <w:noWrap/>
            <w:vAlign w:val="center"/>
            <w:hideMark/>
          </w:tcPr>
          <w:p w14:paraId="6D4B03EE"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Prevádzkovateľ distribučnej siete</w:t>
            </w:r>
          </w:p>
        </w:tc>
      </w:tr>
      <w:tr w:rsidR="00B27340" w:rsidRPr="00C148DF" w14:paraId="06707892" w14:textId="77777777" w:rsidTr="00B27340">
        <w:trPr>
          <w:trHeight w:val="300"/>
        </w:trPr>
        <w:tc>
          <w:tcPr>
            <w:tcW w:w="1979" w:type="dxa"/>
            <w:noWrap/>
            <w:vAlign w:val="center"/>
          </w:tcPr>
          <w:p w14:paraId="1F01F869"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PICASSO</w:t>
            </w:r>
          </w:p>
        </w:tc>
        <w:tc>
          <w:tcPr>
            <w:tcW w:w="7580" w:type="dxa"/>
            <w:noWrap/>
            <w:vAlign w:val="center"/>
          </w:tcPr>
          <w:p w14:paraId="29A3A7FE"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The</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Platform</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for</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the</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International</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Coordination</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of</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Automated</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Frequency</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Restoration</w:t>
            </w:r>
            <w:proofErr w:type="spellEnd"/>
            <w:r w:rsidRPr="00C148DF">
              <w:rPr>
                <w:rFonts w:ascii="Times New Roman" w:eastAsia="Times New Roman" w:hAnsi="Times New Roman" w:cs="Times New Roman"/>
                <w:sz w:val="24"/>
                <w:szCs w:val="24"/>
                <w:lang w:eastAsia="sk-SK"/>
              </w:rPr>
              <w:t xml:space="preserve"> and </w:t>
            </w:r>
            <w:proofErr w:type="spellStart"/>
            <w:r w:rsidRPr="00C148DF">
              <w:rPr>
                <w:rFonts w:ascii="Times New Roman" w:eastAsia="Times New Roman" w:hAnsi="Times New Roman" w:cs="Times New Roman"/>
                <w:sz w:val="24"/>
                <w:szCs w:val="24"/>
                <w:lang w:eastAsia="sk-SK"/>
              </w:rPr>
              <w:t>Stable</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System</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Operation</w:t>
            </w:r>
            <w:proofErr w:type="spellEnd"/>
          </w:p>
        </w:tc>
      </w:tr>
      <w:tr w:rsidR="00B27340" w:rsidRPr="00C148DF" w14:paraId="45326FEA" w14:textId="77777777" w:rsidTr="00B27340">
        <w:trPr>
          <w:trHeight w:val="300"/>
        </w:trPr>
        <w:tc>
          <w:tcPr>
            <w:tcW w:w="1979" w:type="dxa"/>
            <w:noWrap/>
            <w:vAlign w:val="center"/>
          </w:tcPr>
          <w:p w14:paraId="23CE1C7B"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PL</w:t>
            </w:r>
          </w:p>
        </w:tc>
        <w:tc>
          <w:tcPr>
            <w:tcW w:w="7580" w:type="dxa"/>
            <w:noWrap/>
            <w:vAlign w:val="center"/>
          </w:tcPr>
          <w:p w14:paraId="3527714D"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Poľsko</w:t>
            </w:r>
          </w:p>
        </w:tc>
      </w:tr>
      <w:tr w:rsidR="00B27340" w:rsidRPr="00C148DF" w14:paraId="2C282D3B" w14:textId="77777777" w:rsidTr="00B27340">
        <w:trPr>
          <w:trHeight w:val="300"/>
        </w:trPr>
        <w:tc>
          <w:tcPr>
            <w:tcW w:w="1979" w:type="dxa"/>
            <w:noWrap/>
            <w:vAlign w:val="center"/>
            <w:hideMark/>
          </w:tcPr>
          <w:p w14:paraId="3AFC2EC9"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PPC</w:t>
            </w:r>
          </w:p>
        </w:tc>
        <w:tc>
          <w:tcPr>
            <w:tcW w:w="7580" w:type="dxa"/>
            <w:noWrap/>
            <w:vAlign w:val="center"/>
            <w:hideMark/>
          </w:tcPr>
          <w:p w14:paraId="779BB97F"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Paroplynový cyklus</w:t>
            </w:r>
          </w:p>
        </w:tc>
      </w:tr>
      <w:tr w:rsidR="00B27340" w:rsidRPr="00C148DF" w14:paraId="00800AB5" w14:textId="77777777" w:rsidTr="00B27340">
        <w:trPr>
          <w:trHeight w:val="300"/>
        </w:trPr>
        <w:tc>
          <w:tcPr>
            <w:tcW w:w="1979" w:type="dxa"/>
            <w:noWrap/>
            <w:vAlign w:val="center"/>
            <w:hideMark/>
          </w:tcPr>
          <w:p w14:paraId="1C5C0016"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PpS</w:t>
            </w:r>
            <w:proofErr w:type="spellEnd"/>
          </w:p>
        </w:tc>
        <w:tc>
          <w:tcPr>
            <w:tcW w:w="7580" w:type="dxa"/>
            <w:noWrap/>
            <w:vAlign w:val="center"/>
            <w:hideMark/>
          </w:tcPr>
          <w:p w14:paraId="107C02B1"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Podporné služby</w:t>
            </w:r>
          </w:p>
        </w:tc>
      </w:tr>
      <w:tr w:rsidR="00B27340" w:rsidRPr="00C148DF" w14:paraId="015D6000" w14:textId="77777777" w:rsidTr="00B27340">
        <w:trPr>
          <w:trHeight w:val="300"/>
        </w:trPr>
        <w:tc>
          <w:tcPr>
            <w:tcW w:w="1979" w:type="dxa"/>
            <w:noWrap/>
            <w:vAlign w:val="center"/>
          </w:tcPr>
          <w:p w14:paraId="4B278364"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PPS</w:t>
            </w:r>
          </w:p>
        </w:tc>
        <w:tc>
          <w:tcPr>
            <w:tcW w:w="7580" w:type="dxa"/>
            <w:noWrap/>
            <w:vAlign w:val="center"/>
          </w:tcPr>
          <w:p w14:paraId="45E871AA"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Prevádzkovateľ prenosovej sústavy</w:t>
            </w:r>
          </w:p>
        </w:tc>
      </w:tr>
      <w:tr w:rsidR="00B27340" w:rsidRPr="00C148DF" w14:paraId="0030306F" w14:textId="77777777" w:rsidTr="00B27340">
        <w:trPr>
          <w:trHeight w:val="300"/>
        </w:trPr>
        <w:tc>
          <w:tcPr>
            <w:tcW w:w="1979" w:type="dxa"/>
            <w:noWrap/>
            <w:vAlign w:val="center"/>
            <w:hideMark/>
          </w:tcPr>
          <w:p w14:paraId="7638A049"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PRV</w:t>
            </w:r>
          </w:p>
        </w:tc>
        <w:tc>
          <w:tcPr>
            <w:tcW w:w="7580" w:type="dxa"/>
            <w:noWrap/>
            <w:vAlign w:val="center"/>
            <w:hideMark/>
          </w:tcPr>
          <w:p w14:paraId="756A0AE0"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Primárna regulácia výkonu</w:t>
            </w:r>
          </w:p>
        </w:tc>
      </w:tr>
      <w:tr w:rsidR="00B27340" w:rsidRPr="00C148DF" w14:paraId="56272D40" w14:textId="77777777" w:rsidTr="00B27340">
        <w:trPr>
          <w:trHeight w:val="300"/>
        </w:trPr>
        <w:tc>
          <w:tcPr>
            <w:tcW w:w="1979" w:type="dxa"/>
            <w:noWrap/>
            <w:vAlign w:val="center"/>
            <w:hideMark/>
          </w:tcPr>
          <w:p w14:paraId="53BECBF1"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PS</w:t>
            </w:r>
          </w:p>
        </w:tc>
        <w:tc>
          <w:tcPr>
            <w:tcW w:w="7580" w:type="dxa"/>
            <w:noWrap/>
            <w:vAlign w:val="center"/>
            <w:hideMark/>
          </w:tcPr>
          <w:p w14:paraId="59A2D08A"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Prenosová sústava</w:t>
            </w:r>
          </w:p>
        </w:tc>
      </w:tr>
      <w:tr w:rsidR="00B27340" w:rsidRPr="00C148DF" w14:paraId="268F350D" w14:textId="77777777" w:rsidTr="00B27340">
        <w:trPr>
          <w:trHeight w:val="300"/>
        </w:trPr>
        <w:tc>
          <w:tcPr>
            <w:tcW w:w="1979" w:type="dxa"/>
            <w:noWrap/>
            <w:vAlign w:val="center"/>
            <w:hideMark/>
          </w:tcPr>
          <w:p w14:paraId="37FFD867"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PSE</w:t>
            </w:r>
          </w:p>
        </w:tc>
        <w:tc>
          <w:tcPr>
            <w:tcW w:w="7580" w:type="dxa"/>
            <w:noWrap/>
            <w:vAlign w:val="center"/>
            <w:hideMark/>
          </w:tcPr>
          <w:p w14:paraId="6D1DAD53"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Prevádzkovateľ prenosovej sústavy v Poľsku</w:t>
            </w:r>
          </w:p>
        </w:tc>
      </w:tr>
      <w:tr w:rsidR="00B27340" w:rsidRPr="00C148DF" w14:paraId="4480DB6E" w14:textId="77777777" w:rsidTr="00B27340">
        <w:trPr>
          <w:trHeight w:val="300"/>
        </w:trPr>
        <w:tc>
          <w:tcPr>
            <w:tcW w:w="1979" w:type="dxa"/>
            <w:noWrap/>
            <w:vAlign w:val="center"/>
            <w:hideMark/>
          </w:tcPr>
          <w:p w14:paraId="5EF2FCC7"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PVE</w:t>
            </w:r>
          </w:p>
        </w:tc>
        <w:tc>
          <w:tcPr>
            <w:tcW w:w="7580" w:type="dxa"/>
            <w:noWrap/>
            <w:vAlign w:val="center"/>
            <w:hideMark/>
          </w:tcPr>
          <w:p w14:paraId="2AD83BF4"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Prečerpávacia vodná elektráreň</w:t>
            </w:r>
          </w:p>
        </w:tc>
      </w:tr>
      <w:tr w:rsidR="00B27340" w:rsidRPr="00C148DF" w14:paraId="30BAB847" w14:textId="77777777" w:rsidTr="00B27340">
        <w:trPr>
          <w:trHeight w:val="300"/>
        </w:trPr>
        <w:tc>
          <w:tcPr>
            <w:tcW w:w="1979" w:type="dxa"/>
            <w:noWrap/>
            <w:vAlign w:val="center"/>
          </w:tcPr>
          <w:p w14:paraId="1E6ED1FF"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R</w:t>
            </w:r>
          </w:p>
        </w:tc>
        <w:tc>
          <w:tcPr>
            <w:tcW w:w="7580" w:type="dxa"/>
            <w:noWrap/>
            <w:vAlign w:val="center"/>
          </w:tcPr>
          <w:p w14:paraId="1C7ADE9C"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Rozvodňa</w:t>
            </w:r>
          </w:p>
        </w:tc>
      </w:tr>
      <w:tr w:rsidR="00B27340" w:rsidRPr="00C148DF" w14:paraId="0E1EB947" w14:textId="77777777" w:rsidTr="00B27340">
        <w:trPr>
          <w:trHeight w:val="300"/>
        </w:trPr>
        <w:tc>
          <w:tcPr>
            <w:tcW w:w="1979" w:type="dxa"/>
            <w:noWrap/>
            <w:vAlign w:val="center"/>
          </w:tcPr>
          <w:p w14:paraId="063C38B7"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RE</w:t>
            </w:r>
          </w:p>
        </w:tc>
        <w:tc>
          <w:tcPr>
            <w:tcW w:w="7580" w:type="dxa"/>
            <w:noWrap/>
            <w:vAlign w:val="center"/>
          </w:tcPr>
          <w:p w14:paraId="4F586B71"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Regulačná elektrina</w:t>
            </w:r>
          </w:p>
        </w:tc>
      </w:tr>
      <w:tr w:rsidR="00B27340" w:rsidRPr="00C148DF" w14:paraId="1E055219" w14:textId="77777777" w:rsidTr="00B27340">
        <w:trPr>
          <w:trHeight w:val="300"/>
        </w:trPr>
        <w:tc>
          <w:tcPr>
            <w:tcW w:w="1979" w:type="dxa"/>
            <w:noWrap/>
            <w:vAlign w:val="center"/>
            <w:hideMark/>
          </w:tcPr>
          <w:p w14:paraId="4BB6897F"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RG CE</w:t>
            </w:r>
          </w:p>
        </w:tc>
        <w:tc>
          <w:tcPr>
            <w:tcW w:w="7580" w:type="dxa"/>
            <w:noWrap/>
            <w:vAlign w:val="center"/>
            <w:hideMark/>
          </w:tcPr>
          <w:p w14:paraId="34C5A986"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Regional</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Group</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Continental</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Europe</w:t>
            </w:r>
            <w:proofErr w:type="spellEnd"/>
          </w:p>
        </w:tc>
      </w:tr>
      <w:tr w:rsidR="00B27340" w:rsidRPr="00C148DF" w14:paraId="697CD158" w14:textId="77777777" w:rsidTr="00B27340">
        <w:trPr>
          <w:trHeight w:val="300"/>
        </w:trPr>
        <w:tc>
          <w:tcPr>
            <w:tcW w:w="1979" w:type="dxa"/>
            <w:noWrap/>
            <w:vAlign w:val="center"/>
          </w:tcPr>
          <w:p w14:paraId="4D2B4972"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RG CCE</w:t>
            </w:r>
          </w:p>
        </w:tc>
        <w:tc>
          <w:tcPr>
            <w:tcW w:w="7580" w:type="dxa"/>
            <w:noWrap/>
            <w:vAlign w:val="center"/>
          </w:tcPr>
          <w:p w14:paraId="10AD7561"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Regional</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Group</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Continental</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Central</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East</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Europe</w:t>
            </w:r>
            <w:proofErr w:type="spellEnd"/>
          </w:p>
        </w:tc>
      </w:tr>
      <w:tr w:rsidR="00B27340" w:rsidRPr="00C148DF" w14:paraId="2BC2FD60" w14:textId="77777777" w:rsidTr="00B27340">
        <w:trPr>
          <w:trHeight w:val="300"/>
        </w:trPr>
        <w:tc>
          <w:tcPr>
            <w:tcW w:w="1979" w:type="dxa"/>
            <w:noWrap/>
            <w:vAlign w:val="center"/>
          </w:tcPr>
          <w:p w14:paraId="74780544"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ROVE</w:t>
            </w:r>
          </w:p>
        </w:tc>
        <w:tc>
          <w:tcPr>
            <w:tcW w:w="7580" w:type="dxa"/>
            <w:noWrap/>
            <w:vAlign w:val="center"/>
          </w:tcPr>
          <w:p w14:paraId="3B6EFBE9"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Riadenie obchodu a výroby elektrární</w:t>
            </w:r>
          </w:p>
        </w:tc>
      </w:tr>
      <w:tr w:rsidR="00B27340" w:rsidRPr="00C148DF" w14:paraId="31C237DD" w14:textId="77777777" w:rsidTr="00B27340">
        <w:trPr>
          <w:trHeight w:val="300"/>
        </w:trPr>
        <w:tc>
          <w:tcPr>
            <w:tcW w:w="1979" w:type="dxa"/>
            <w:noWrap/>
            <w:vAlign w:val="center"/>
          </w:tcPr>
          <w:p w14:paraId="727F1CA5"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SAFA</w:t>
            </w:r>
          </w:p>
        </w:tc>
        <w:tc>
          <w:tcPr>
            <w:tcW w:w="7580" w:type="dxa"/>
            <w:noWrap/>
            <w:vAlign w:val="center"/>
          </w:tcPr>
          <w:p w14:paraId="117ADECE"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Synchronous</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Area</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Framework</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Agreement</w:t>
            </w:r>
            <w:proofErr w:type="spellEnd"/>
          </w:p>
        </w:tc>
      </w:tr>
      <w:tr w:rsidR="00B27340" w:rsidRPr="00C148DF" w14:paraId="211CF3F3" w14:textId="77777777" w:rsidTr="00B27340">
        <w:trPr>
          <w:trHeight w:val="300"/>
        </w:trPr>
        <w:tc>
          <w:tcPr>
            <w:tcW w:w="1979" w:type="dxa"/>
            <w:noWrap/>
            <w:vAlign w:val="center"/>
          </w:tcPr>
          <w:p w14:paraId="02E5E784"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SAP</w:t>
            </w:r>
          </w:p>
        </w:tc>
        <w:tc>
          <w:tcPr>
            <w:tcW w:w="7580" w:type="dxa"/>
            <w:noWrap/>
            <w:vAlign w:val="center"/>
          </w:tcPr>
          <w:p w14:paraId="48EF5858"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 xml:space="preserve">Single </w:t>
            </w:r>
            <w:proofErr w:type="spellStart"/>
            <w:r w:rsidRPr="00C148DF">
              <w:rPr>
                <w:rFonts w:ascii="Times New Roman" w:eastAsia="Times New Roman" w:hAnsi="Times New Roman" w:cs="Times New Roman"/>
                <w:sz w:val="24"/>
                <w:szCs w:val="24"/>
                <w:lang w:eastAsia="sk-SK"/>
              </w:rPr>
              <w:t>Allocation</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Platform</w:t>
            </w:r>
            <w:proofErr w:type="spellEnd"/>
          </w:p>
        </w:tc>
      </w:tr>
      <w:tr w:rsidR="00B27340" w:rsidRPr="00C148DF" w14:paraId="331003A4" w14:textId="77777777" w:rsidTr="00B27340">
        <w:trPr>
          <w:trHeight w:val="300"/>
        </w:trPr>
        <w:tc>
          <w:tcPr>
            <w:tcW w:w="1979" w:type="dxa"/>
            <w:noWrap/>
            <w:vAlign w:val="center"/>
            <w:hideMark/>
          </w:tcPr>
          <w:p w14:paraId="6EC782CC"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SE</w:t>
            </w:r>
          </w:p>
        </w:tc>
        <w:tc>
          <w:tcPr>
            <w:tcW w:w="7580" w:type="dxa"/>
            <w:noWrap/>
            <w:vAlign w:val="center"/>
            <w:hideMark/>
          </w:tcPr>
          <w:p w14:paraId="76F1BDEC"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Slovenské elektrárne, a.s.</w:t>
            </w:r>
          </w:p>
        </w:tc>
      </w:tr>
      <w:tr w:rsidR="00B27340" w:rsidRPr="00C148DF" w14:paraId="2FE17F42" w14:textId="77777777" w:rsidTr="00B27340">
        <w:trPr>
          <w:trHeight w:val="300"/>
        </w:trPr>
        <w:tc>
          <w:tcPr>
            <w:tcW w:w="1979" w:type="dxa"/>
            <w:noWrap/>
            <w:vAlign w:val="center"/>
            <w:hideMark/>
          </w:tcPr>
          <w:p w14:paraId="08687CA1"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SED</w:t>
            </w:r>
          </w:p>
        </w:tc>
        <w:tc>
          <w:tcPr>
            <w:tcW w:w="7580" w:type="dxa"/>
            <w:noWrap/>
            <w:vAlign w:val="center"/>
            <w:hideMark/>
          </w:tcPr>
          <w:p w14:paraId="2B81DBFF"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Slovenský elektroenergetický dispečing</w:t>
            </w:r>
          </w:p>
        </w:tc>
      </w:tr>
      <w:tr w:rsidR="00B27340" w:rsidRPr="00C148DF" w14:paraId="298BF1DF" w14:textId="77777777" w:rsidTr="00B27340">
        <w:trPr>
          <w:trHeight w:val="300"/>
        </w:trPr>
        <w:tc>
          <w:tcPr>
            <w:tcW w:w="1979" w:type="dxa"/>
            <w:noWrap/>
            <w:vAlign w:val="center"/>
            <w:hideMark/>
          </w:tcPr>
          <w:p w14:paraId="78DBD499"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SEPS</w:t>
            </w:r>
          </w:p>
        </w:tc>
        <w:tc>
          <w:tcPr>
            <w:tcW w:w="7580" w:type="dxa"/>
            <w:noWrap/>
            <w:vAlign w:val="center"/>
            <w:hideMark/>
          </w:tcPr>
          <w:p w14:paraId="2477F8AE"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Slovenská elektrizačná prenosová sústava, a.s.</w:t>
            </w:r>
          </w:p>
        </w:tc>
      </w:tr>
      <w:tr w:rsidR="00B27340" w:rsidRPr="00C148DF" w14:paraId="03424906" w14:textId="77777777" w:rsidTr="00B27340">
        <w:trPr>
          <w:trHeight w:val="300"/>
        </w:trPr>
        <w:tc>
          <w:tcPr>
            <w:tcW w:w="1979" w:type="dxa"/>
            <w:noWrap/>
            <w:vAlign w:val="center"/>
          </w:tcPr>
          <w:p w14:paraId="78CAB680"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SIDC</w:t>
            </w:r>
          </w:p>
        </w:tc>
        <w:tc>
          <w:tcPr>
            <w:tcW w:w="7580" w:type="dxa"/>
            <w:noWrap/>
            <w:vAlign w:val="center"/>
          </w:tcPr>
          <w:p w14:paraId="13C83913"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 xml:space="preserve">Single </w:t>
            </w:r>
            <w:proofErr w:type="spellStart"/>
            <w:r w:rsidRPr="00C148DF">
              <w:rPr>
                <w:rFonts w:ascii="Times New Roman" w:eastAsia="Times New Roman" w:hAnsi="Times New Roman" w:cs="Times New Roman"/>
                <w:sz w:val="24"/>
                <w:szCs w:val="24"/>
                <w:lang w:eastAsia="sk-SK"/>
              </w:rPr>
              <w:t>Intra-Day</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Coupling</w:t>
            </w:r>
            <w:proofErr w:type="spellEnd"/>
          </w:p>
        </w:tc>
      </w:tr>
      <w:tr w:rsidR="00B27340" w:rsidRPr="00C148DF" w14:paraId="68E7562D" w14:textId="77777777" w:rsidTr="00B27340">
        <w:trPr>
          <w:trHeight w:val="300"/>
        </w:trPr>
        <w:tc>
          <w:tcPr>
            <w:tcW w:w="1979" w:type="dxa"/>
            <w:noWrap/>
            <w:vAlign w:val="center"/>
            <w:hideMark/>
          </w:tcPr>
          <w:p w14:paraId="20F82AB9"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SK</w:t>
            </w:r>
          </w:p>
        </w:tc>
        <w:tc>
          <w:tcPr>
            <w:tcW w:w="7580" w:type="dxa"/>
            <w:noWrap/>
            <w:vAlign w:val="center"/>
            <w:hideMark/>
          </w:tcPr>
          <w:p w14:paraId="6B8BAFE2"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Slovensko, medzinárodné označenie</w:t>
            </w:r>
          </w:p>
        </w:tc>
      </w:tr>
      <w:tr w:rsidR="00B27340" w:rsidRPr="00C148DF" w14:paraId="02DE629E" w14:textId="77777777" w:rsidTr="00B27340">
        <w:trPr>
          <w:trHeight w:val="300"/>
        </w:trPr>
        <w:tc>
          <w:tcPr>
            <w:tcW w:w="1979" w:type="dxa"/>
            <w:noWrap/>
            <w:vAlign w:val="center"/>
            <w:hideMark/>
          </w:tcPr>
          <w:p w14:paraId="0DE1FDE7"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SR</w:t>
            </w:r>
          </w:p>
        </w:tc>
        <w:tc>
          <w:tcPr>
            <w:tcW w:w="7580" w:type="dxa"/>
            <w:noWrap/>
            <w:vAlign w:val="center"/>
            <w:hideMark/>
          </w:tcPr>
          <w:p w14:paraId="31D63C91"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Slovenská republika</w:t>
            </w:r>
          </w:p>
        </w:tc>
      </w:tr>
      <w:tr w:rsidR="00B27340" w:rsidRPr="00C148DF" w14:paraId="39111ADC" w14:textId="77777777" w:rsidTr="00B27340">
        <w:trPr>
          <w:trHeight w:val="300"/>
        </w:trPr>
        <w:tc>
          <w:tcPr>
            <w:tcW w:w="1979" w:type="dxa"/>
            <w:noWrap/>
            <w:vAlign w:val="center"/>
            <w:hideMark/>
          </w:tcPr>
          <w:p w14:paraId="2879F601"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SRV</w:t>
            </w:r>
          </w:p>
        </w:tc>
        <w:tc>
          <w:tcPr>
            <w:tcW w:w="7580" w:type="dxa"/>
            <w:noWrap/>
            <w:vAlign w:val="center"/>
            <w:hideMark/>
          </w:tcPr>
          <w:p w14:paraId="69DF5D74"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Sekundárna regulácia výkonu</w:t>
            </w:r>
          </w:p>
        </w:tc>
      </w:tr>
      <w:tr w:rsidR="00B27340" w:rsidRPr="00C148DF" w14:paraId="6152E7B5" w14:textId="77777777" w:rsidTr="00B27340">
        <w:trPr>
          <w:trHeight w:val="300"/>
        </w:trPr>
        <w:tc>
          <w:tcPr>
            <w:tcW w:w="1979" w:type="dxa"/>
            <w:noWrap/>
            <w:vAlign w:val="center"/>
          </w:tcPr>
          <w:p w14:paraId="60403D17"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SSD</w:t>
            </w:r>
          </w:p>
        </w:tc>
        <w:tc>
          <w:tcPr>
            <w:tcW w:w="7580" w:type="dxa"/>
            <w:noWrap/>
            <w:vAlign w:val="center"/>
          </w:tcPr>
          <w:p w14:paraId="1B748D06"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Stredoslovenská distribučná, a.s.</w:t>
            </w:r>
          </w:p>
        </w:tc>
      </w:tr>
      <w:tr w:rsidR="00B27340" w:rsidRPr="00C148DF" w14:paraId="109AA1DD" w14:textId="77777777" w:rsidTr="00B27340">
        <w:trPr>
          <w:trHeight w:val="300"/>
        </w:trPr>
        <w:tc>
          <w:tcPr>
            <w:tcW w:w="1979" w:type="dxa"/>
            <w:noWrap/>
            <w:vAlign w:val="center"/>
            <w:hideMark/>
          </w:tcPr>
          <w:p w14:paraId="4490045D"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T</w:t>
            </w:r>
          </w:p>
        </w:tc>
        <w:tc>
          <w:tcPr>
            <w:tcW w:w="7580" w:type="dxa"/>
            <w:noWrap/>
            <w:vAlign w:val="center"/>
            <w:hideMark/>
          </w:tcPr>
          <w:p w14:paraId="6404360E"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Transformátor</w:t>
            </w:r>
          </w:p>
        </w:tc>
      </w:tr>
      <w:tr w:rsidR="00B27340" w:rsidRPr="00C148DF" w14:paraId="6321060D" w14:textId="77777777" w:rsidTr="00B27340">
        <w:trPr>
          <w:trHeight w:val="300"/>
        </w:trPr>
        <w:tc>
          <w:tcPr>
            <w:tcW w:w="1979" w:type="dxa"/>
            <w:noWrap/>
            <w:vAlign w:val="center"/>
            <w:hideMark/>
          </w:tcPr>
          <w:p w14:paraId="1740488B"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TE</w:t>
            </w:r>
          </w:p>
        </w:tc>
        <w:tc>
          <w:tcPr>
            <w:tcW w:w="7580" w:type="dxa"/>
            <w:noWrap/>
            <w:vAlign w:val="center"/>
            <w:hideMark/>
          </w:tcPr>
          <w:p w14:paraId="182BCB40"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Tepelná elektráreň</w:t>
            </w:r>
          </w:p>
        </w:tc>
      </w:tr>
      <w:tr w:rsidR="00B27340" w:rsidRPr="00C148DF" w14:paraId="301E624C" w14:textId="77777777" w:rsidTr="00B27340">
        <w:trPr>
          <w:trHeight w:val="300"/>
        </w:trPr>
        <w:tc>
          <w:tcPr>
            <w:tcW w:w="1979" w:type="dxa"/>
            <w:noWrap/>
            <w:vAlign w:val="center"/>
          </w:tcPr>
          <w:p w14:paraId="04F21C95"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TNS</w:t>
            </w:r>
          </w:p>
        </w:tc>
        <w:tc>
          <w:tcPr>
            <w:tcW w:w="7580" w:type="dxa"/>
            <w:noWrap/>
            <w:vAlign w:val="center"/>
          </w:tcPr>
          <w:p w14:paraId="573F3D45"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Tuzemská netto spotreba</w:t>
            </w:r>
          </w:p>
        </w:tc>
      </w:tr>
      <w:tr w:rsidR="00B27340" w:rsidRPr="00C148DF" w14:paraId="689D53D7" w14:textId="77777777" w:rsidTr="00B27340">
        <w:trPr>
          <w:trHeight w:val="300"/>
        </w:trPr>
        <w:tc>
          <w:tcPr>
            <w:tcW w:w="1979" w:type="dxa"/>
            <w:noWrap/>
            <w:vAlign w:val="center"/>
          </w:tcPr>
          <w:p w14:paraId="18ADDC79"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TP</w:t>
            </w:r>
          </w:p>
        </w:tc>
        <w:tc>
          <w:tcPr>
            <w:tcW w:w="7580" w:type="dxa"/>
            <w:noWrap/>
            <w:vAlign w:val="center"/>
          </w:tcPr>
          <w:p w14:paraId="60EFBFC8"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Technické podmienky</w:t>
            </w:r>
          </w:p>
        </w:tc>
      </w:tr>
      <w:tr w:rsidR="00B27340" w:rsidRPr="00C148DF" w14:paraId="76726133" w14:textId="77777777" w:rsidTr="00B27340">
        <w:trPr>
          <w:trHeight w:val="300"/>
        </w:trPr>
        <w:tc>
          <w:tcPr>
            <w:tcW w:w="1979" w:type="dxa"/>
            <w:noWrap/>
            <w:vAlign w:val="center"/>
          </w:tcPr>
          <w:p w14:paraId="76A6466E"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TRM</w:t>
            </w:r>
          </w:p>
        </w:tc>
        <w:tc>
          <w:tcPr>
            <w:tcW w:w="7580" w:type="dxa"/>
            <w:noWrap/>
            <w:vAlign w:val="center"/>
          </w:tcPr>
          <w:p w14:paraId="63E8D64E"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Transmission</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Reliability</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Margin</w:t>
            </w:r>
            <w:proofErr w:type="spellEnd"/>
          </w:p>
        </w:tc>
      </w:tr>
      <w:tr w:rsidR="00B27340" w:rsidRPr="00C148DF" w14:paraId="55737034" w14:textId="77777777" w:rsidTr="00B27340">
        <w:trPr>
          <w:trHeight w:val="300"/>
        </w:trPr>
        <w:tc>
          <w:tcPr>
            <w:tcW w:w="1979" w:type="dxa"/>
            <w:noWrap/>
            <w:vAlign w:val="center"/>
            <w:hideMark/>
          </w:tcPr>
          <w:p w14:paraId="1D07CCD4"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TRV</w:t>
            </w:r>
          </w:p>
        </w:tc>
        <w:tc>
          <w:tcPr>
            <w:tcW w:w="7580" w:type="dxa"/>
            <w:noWrap/>
            <w:vAlign w:val="center"/>
            <w:hideMark/>
          </w:tcPr>
          <w:p w14:paraId="4F4998B0"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Terciárna regulácia výkonu</w:t>
            </w:r>
          </w:p>
        </w:tc>
      </w:tr>
      <w:tr w:rsidR="00B27340" w:rsidRPr="00C148DF" w14:paraId="0814583C" w14:textId="77777777" w:rsidTr="00B27340">
        <w:trPr>
          <w:trHeight w:val="300"/>
        </w:trPr>
        <w:tc>
          <w:tcPr>
            <w:tcW w:w="1979" w:type="dxa"/>
            <w:noWrap/>
            <w:vAlign w:val="center"/>
          </w:tcPr>
          <w:p w14:paraId="48A453AE"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TYNDP</w:t>
            </w:r>
          </w:p>
        </w:tc>
        <w:tc>
          <w:tcPr>
            <w:tcW w:w="7580" w:type="dxa"/>
            <w:noWrap/>
            <w:vAlign w:val="center"/>
          </w:tcPr>
          <w:p w14:paraId="632B1D6A"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 xml:space="preserve">Ten </w:t>
            </w:r>
            <w:proofErr w:type="spellStart"/>
            <w:r w:rsidRPr="00C148DF">
              <w:rPr>
                <w:rFonts w:ascii="Times New Roman" w:eastAsia="Times New Roman" w:hAnsi="Times New Roman" w:cs="Times New Roman"/>
                <w:sz w:val="24"/>
                <w:szCs w:val="24"/>
                <w:lang w:eastAsia="sk-SK"/>
              </w:rPr>
              <w:t>Years</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Network</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Development</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Plan</w:t>
            </w:r>
            <w:proofErr w:type="spellEnd"/>
          </w:p>
        </w:tc>
      </w:tr>
      <w:tr w:rsidR="00B27340" w:rsidRPr="00C148DF" w14:paraId="683A116F" w14:textId="77777777" w:rsidTr="00B27340">
        <w:trPr>
          <w:trHeight w:val="300"/>
        </w:trPr>
        <w:tc>
          <w:tcPr>
            <w:tcW w:w="1979" w:type="dxa"/>
            <w:noWrap/>
            <w:vAlign w:val="center"/>
            <w:hideMark/>
          </w:tcPr>
          <w:p w14:paraId="0F89986B"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UA</w:t>
            </w:r>
          </w:p>
        </w:tc>
        <w:tc>
          <w:tcPr>
            <w:tcW w:w="7580" w:type="dxa"/>
            <w:noWrap/>
            <w:vAlign w:val="center"/>
            <w:hideMark/>
          </w:tcPr>
          <w:p w14:paraId="2CA8F134"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Ukrajina, medzinárodné označenie</w:t>
            </w:r>
          </w:p>
        </w:tc>
      </w:tr>
      <w:tr w:rsidR="00B27340" w:rsidRPr="00C148DF" w14:paraId="09D044DD" w14:textId="77777777" w:rsidTr="00B27340">
        <w:trPr>
          <w:trHeight w:val="300"/>
        </w:trPr>
        <w:tc>
          <w:tcPr>
            <w:tcW w:w="1979" w:type="dxa"/>
            <w:noWrap/>
            <w:vAlign w:val="center"/>
          </w:tcPr>
          <w:p w14:paraId="16BBBC59"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UIOSI</w:t>
            </w:r>
          </w:p>
        </w:tc>
        <w:tc>
          <w:tcPr>
            <w:tcW w:w="7580" w:type="dxa"/>
            <w:noWrap/>
            <w:vAlign w:val="center"/>
          </w:tcPr>
          <w:p w14:paraId="3B3560D3"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Use</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it</w:t>
            </w:r>
            <w:proofErr w:type="spellEnd"/>
            <w:r w:rsidRPr="00C148DF">
              <w:rPr>
                <w:rFonts w:ascii="Times New Roman" w:eastAsia="Times New Roman" w:hAnsi="Times New Roman" w:cs="Times New Roman"/>
                <w:sz w:val="24"/>
                <w:szCs w:val="24"/>
                <w:lang w:eastAsia="sk-SK"/>
              </w:rPr>
              <w:t xml:space="preserve"> or </w:t>
            </w:r>
            <w:proofErr w:type="spellStart"/>
            <w:r w:rsidRPr="00C148DF">
              <w:rPr>
                <w:rFonts w:ascii="Times New Roman" w:eastAsia="Times New Roman" w:hAnsi="Times New Roman" w:cs="Times New Roman"/>
                <w:sz w:val="24"/>
                <w:szCs w:val="24"/>
                <w:lang w:eastAsia="sk-SK"/>
              </w:rPr>
              <w:t>sell</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it</w:t>
            </w:r>
            <w:proofErr w:type="spellEnd"/>
          </w:p>
        </w:tc>
      </w:tr>
      <w:tr w:rsidR="00B27340" w:rsidRPr="00C148DF" w14:paraId="442150F0" w14:textId="77777777" w:rsidTr="00B27340">
        <w:trPr>
          <w:trHeight w:val="300"/>
        </w:trPr>
        <w:tc>
          <w:tcPr>
            <w:tcW w:w="1979" w:type="dxa"/>
            <w:noWrap/>
            <w:vAlign w:val="center"/>
            <w:hideMark/>
          </w:tcPr>
          <w:p w14:paraId="15EE8D55"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ÚRSO</w:t>
            </w:r>
          </w:p>
        </w:tc>
        <w:tc>
          <w:tcPr>
            <w:tcW w:w="7580" w:type="dxa"/>
            <w:noWrap/>
            <w:vAlign w:val="center"/>
            <w:hideMark/>
          </w:tcPr>
          <w:p w14:paraId="7BB0AE72"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Úrad pre reguláciu sieťových odvetví</w:t>
            </w:r>
          </w:p>
        </w:tc>
      </w:tr>
      <w:tr w:rsidR="00B27340" w:rsidRPr="00C148DF" w14:paraId="534B6415" w14:textId="77777777" w:rsidTr="00B27340">
        <w:trPr>
          <w:trHeight w:val="300"/>
        </w:trPr>
        <w:tc>
          <w:tcPr>
            <w:tcW w:w="1979" w:type="dxa"/>
            <w:noWrap/>
            <w:vAlign w:val="center"/>
          </w:tcPr>
          <w:p w14:paraId="4D2AD4E3"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V</w:t>
            </w:r>
          </w:p>
        </w:tc>
        <w:tc>
          <w:tcPr>
            <w:tcW w:w="7580" w:type="dxa"/>
            <w:noWrap/>
            <w:vAlign w:val="center"/>
          </w:tcPr>
          <w:p w14:paraId="7F35F029"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Vedenie</w:t>
            </w:r>
          </w:p>
        </w:tc>
      </w:tr>
      <w:tr w:rsidR="00B27340" w:rsidRPr="00C148DF" w14:paraId="22A17F89" w14:textId="77777777" w:rsidTr="00B27340">
        <w:trPr>
          <w:trHeight w:val="300"/>
        </w:trPr>
        <w:tc>
          <w:tcPr>
            <w:tcW w:w="1979" w:type="dxa"/>
            <w:noWrap/>
            <w:vAlign w:val="center"/>
          </w:tcPr>
          <w:p w14:paraId="0E4B57F8"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VE</w:t>
            </w:r>
          </w:p>
        </w:tc>
        <w:tc>
          <w:tcPr>
            <w:tcW w:w="7580" w:type="dxa"/>
            <w:noWrap/>
            <w:vAlign w:val="center"/>
          </w:tcPr>
          <w:p w14:paraId="7B7A6C81"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Vodná elektráreň</w:t>
            </w:r>
          </w:p>
        </w:tc>
      </w:tr>
      <w:tr w:rsidR="00B27340" w:rsidRPr="00C148DF" w14:paraId="04327361" w14:textId="77777777" w:rsidTr="00B27340">
        <w:trPr>
          <w:trHeight w:val="300"/>
        </w:trPr>
        <w:tc>
          <w:tcPr>
            <w:tcW w:w="1979" w:type="dxa"/>
            <w:noWrap/>
            <w:vAlign w:val="center"/>
            <w:hideMark/>
          </w:tcPr>
          <w:p w14:paraId="28A66930"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VTE</w:t>
            </w:r>
          </w:p>
        </w:tc>
        <w:tc>
          <w:tcPr>
            <w:tcW w:w="7580" w:type="dxa"/>
            <w:noWrap/>
            <w:vAlign w:val="center"/>
            <w:hideMark/>
          </w:tcPr>
          <w:p w14:paraId="131E15AE"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Veterná elektráreň</w:t>
            </w:r>
          </w:p>
        </w:tc>
      </w:tr>
      <w:tr w:rsidR="00B27340" w:rsidRPr="00C148DF" w14:paraId="04BBA1AC" w14:textId="77777777" w:rsidTr="00B27340">
        <w:trPr>
          <w:trHeight w:val="300"/>
        </w:trPr>
        <w:tc>
          <w:tcPr>
            <w:tcW w:w="1979" w:type="dxa"/>
            <w:noWrap/>
            <w:vAlign w:val="center"/>
          </w:tcPr>
          <w:p w14:paraId="1E810870"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lastRenderedPageBreak/>
              <w:t>VÚ KVET</w:t>
            </w:r>
          </w:p>
        </w:tc>
        <w:tc>
          <w:tcPr>
            <w:tcW w:w="7580" w:type="dxa"/>
            <w:noWrap/>
            <w:vAlign w:val="center"/>
          </w:tcPr>
          <w:p w14:paraId="572D6D01"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Vysoko účinná kombinovaná výroba elektriny a tepla</w:t>
            </w:r>
          </w:p>
        </w:tc>
      </w:tr>
      <w:tr w:rsidR="00B27340" w:rsidRPr="00C148DF" w14:paraId="28134088" w14:textId="77777777" w:rsidTr="00B27340">
        <w:trPr>
          <w:trHeight w:val="300"/>
        </w:trPr>
        <w:tc>
          <w:tcPr>
            <w:tcW w:w="1979" w:type="dxa"/>
            <w:noWrap/>
            <w:vAlign w:val="center"/>
          </w:tcPr>
          <w:p w14:paraId="2D3602F3"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VVK</w:t>
            </w:r>
          </w:p>
        </w:tc>
        <w:tc>
          <w:tcPr>
            <w:tcW w:w="7580" w:type="dxa"/>
            <w:noWrap/>
            <w:vAlign w:val="center"/>
          </w:tcPr>
          <w:p w14:paraId="0C1BF85A"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Viacročné výberové konanie</w:t>
            </w:r>
          </w:p>
        </w:tc>
      </w:tr>
      <w:tr w:rsidR="00B27340" w:rsidRPr="00C148DF" w14:paraId="6ACC0FC6" w14:textId="77777777" w:rsidTr="00B27340">
        <w:trPr>
          <w:trHeight w:val="300"/>
        </w:trPr>
        <w:tc>
          <w:tcPr>
            <w:tcW w:w="1979" w:type="dxa"/>
            <w:noWrap/>
            <w:vAlign w:val="center"/>
          </w:tcPr>
          <w:p w14:paraId="059F5EDA"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XBID</w:t>
            </w:r>
          </w:p>
        </w:tc>
        <w:tc>
          <w:tcPr>
            <w:tcW w:w="7580" w:type="dxa"/>
            <w:noWrap/>
            <w:vAlign w:val="center"/>
          </w:tcPr>
          <w:p w14:paraId="4E068293" w14:textId="77777777" w:rsidR="00B27340" w:rsidRPr="00C148DF" w:rsidRDefault="00B27340" w:rsidP="00B27340">
            <w:pPr>
              <w:rPr>
                <w:rFonts w:ascii="Times New Roman" w:eastAsia="Times New Roman" w:hAnsi="Times New Roman" w:cs="Times New Roman"/>
                <w:sz w:val="24"/>
                <w:szCs w:val="24"/>
                <w:lang w:eastAsia="sk-SK"/>
              </w:rPr>
            </w:pPr>
            <w:proofErr w:type="spellStart"/>
            <w:r w:rsidRPr="00C148DF">
              <w:rPr>
                <w:rFonts w:ascii="Times New Roman" w:eastAsia="Times New Roman" w:hAnsi="Times New Roman" w:cs="Times New Roman"/>
                <w:sz w:val="24"/>
                <w:szCs w:val="24"/>
                <w:lang w:eastAsia="sk-SK"/>
              </w:rPr>
              <w:t>European</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Cross-border</w:t>
            </w:r>
            <w:proofErr w:type="spellEnd"/>
            <w:r w:rsidRPr="00C148DF">
              <w:rPr>
                <w:rFonts w:ascii="Times New Roman" w:eastAsia="Times New Roman" w:hAnsi="Times New Roman" w:cs="Times New Roman"/>
                <w:sz w:val="24"/>
                <w:szCs w:val="24"/>
                <w:lang w:eastAsia="sk-SK"/>
              </w:rPr>
              <w:t xml:space="preserve"> </w:t>
            </w:r>
            <w:proofErr w:type="spellStart"/>
            <w:r w:rsidRPr="00C148DF">
              <w:rPr>
                <w:rFonts w:ascii="Times New Roman" w:eastAsia="Times New Roman" w:hAnsi="Times New Roman" w:cs="Times New Roman"/>
                <w:sz w:val="24"/>
                <w:szCs w:val="24"/>
                <w:lang w:eastAsia="sk-SK"/>
              </w:rPr>
              <w:t>Intraday</w:t>
            </w:r>
            <w:proofErr w:type="spellEnd"/>
          </w:p>
        </w:tc>
      </w:tr>
      <w:tr w:rsidR="00B27340" w:rsidRPr="00C148DF" w14:paraId="44F324A9" w14:textId="77777777" w:rsidTr="00B27340">
        <w:trPr>
          <w:trHeight w:val="300"/>
        </w:trPr>
        <w:tc>
          <w:tcPr>
            <w:tcW w:w="1979" w:type="dxa"/>
            <w:noWrap/>
            <w:vAlign w:val="center"/>
            <w:hideMark/>
          </w:tcPr>
          <w:p w14:paraId="31861EFC"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ZNO</w:t>
            </w:r>
          </w:p>
        </w:tc>
        <w:tc>
          <w:tcPr>
            <w:tcW w:w="7580" w:type="dxa"/>
            <w:noWrap/>
            <w:vAlign w:val="center"/>
            <w:hideMark/>
          </w:tcPr>
          <w:p w14:paraId="015F6D5C"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 xml:space="preserve">Zníženie odoberaného výkonu </w:t>
            </w:r>
          </w:p>
        </w:tc>
      </w:tr>
      <w:tr w:rsidR="00B27340" w:rsidRPr="00C148DF" w14:paraId="780BDD3F" w14:textId="77777777" w:rsidTr="00B27340">
        <w:trPr>
          <w:trHeight w:val="300"/>
        </w:trPr>
        <w:tc>
          <w:tcPr>
            <w:tcW w:w="1979" w:type="dxa"/>
            <w:noWrap/>
            <w:vAlign w:val="center"/>
            <w:hideMark/>
          </w:tcPr>
          <w:p w14:paraId="3ED230C0"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ZSD</w:t>
            </w:r>
          </w:p>
        </w:tc>
        <w:tc>
          <w:tcPr>
            <w:tcW w:w="7580" w:type="dxa"/>
            <w:noWrap/>
            <w:vAlign w:val="center"/>
            <w:hideMark/>
          </w:tcPr>
          <w:p w14:paraId="20A51463"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Západoslovenská distribučná, a.s.</w:t>
            </w:r>
          </w:p>
        </w:tc>
      </w:tr>
      <w:tr w:rsidR="00B27340" w:rsidRPr="00C148DF" w14:paraId="3EF48189" w14:textId="77777777" w:rsidTr="00B27340">
        <w:trPr>
          <w:trHeight w:val="300"/>
        </w:trPr>
        <w:tc>
          <w:tcPr>
            <w:tcW w:w="1979" w:type="dxa"/>
            <w:noWrap/>
            <w:vAlign w:val="center"/>
            <w:hideMark/>
          </w:tcPr>
          <w:p w14:paraId="7A33BE6F"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ZVO</w:t>
            </w:r>
          </w:p>
        </w:tc>
        <w:tc>
          <w:tcPr>
            <w:tcW w:w="7580" w:type="dxa"/>
            <w:noWrap/>
            <w:vAlign w:val="center"/>
            <w:hideMark/>
          </w:tcPr>
          <w:p w14:paraId="2E1D8E9A" w14:textId="77777777" w:rsidR="00B27340" w:rsidRPr="00C148DF" w:rsidRDefault="00B27340" w:rsidP="00B27340">
            <w:pPr>
              <w:rPr>
                <w:rFonts w:ascii="Times New Roman" w:eastAsia="Times New Roman" w:hAnsi="Times New Roman" w:cs="Times New Roman"/>
                <w:sz w:val="24"/>
                <w:szCs w:val="24"/>
                <w:lang w:eastAsia="sk-SK"/>
              </w:rPr>
            </w:pPr>
            <w:r w:rsidRPr="00C148DF">
              <w:rPr>
                <w:rFonts w:ascii="Times New Roman" w:eastAsia="Times New Roman" w:hAnsi="Times New Roman" w:cs="Times New Roman"/>
                <w:sz w:val="24"/>
                <w:szCs w:val="24"/>
                <w:lang w:eastAsia="sk-SK"/>
              </w:rPr>
              <w:t>Zvýšenie odoberaného výkonu</w:t>
            </w:r>
          </w:p>
        </w:tc>
      </w:tr>
    </w:tbl>
    <w:p w14:paraId="091FB9EE" w14:textId="4B1DC064" w:rsidR="00ED2101" w:rsidRPr="00C148DF" w:rsidRDefault="00ED2101" w:rsidP="00ED2101">
      <w:pPr>
        <w:rPr>
          <w:rFonts w:ascii="Times New Roman" w:hAnsi="Times New Roman" w:cs="Times New Roman"/>
          <w:b/>
          <w:sz w:val="24"/>
          <w:szCs w:val="24"/>
        </w:rPr>
      </w:pPr>
      <w:r w:rsidRPr="00C148DF">
        <w:rPr>
          <w:rFonts w:ascii="Times New Roman" w:eastAsia="Times New Roman" w:hAnsi="Times New Roman" w:cs="Times New Roman"/>
          <w:color w:val="000000" w:themeColor="text1"/>
          <w:sz w:val="24"/>
          <w:szCs w:val="24"/>
        </w:rPr>
        <w:br/>
      </w:r>
      <w:r w:rsidRPr="00C148DF">
        <w:rPr>
          <w:rFonts w:ascii="Times New Roman" w:eastAsia="Times New Roman" w:hAnsi="Times New Roman" w:cs="Times New Roman"/>
          <w:color w:val="000000" w:themeColor="text1"/>
          <w:sz w:val="24"/>
          <w:szCs w:val="24"/>
        </w:rPr>
        <w:br/>
      </w:r>
      <w:r w:rsidRPr="00C148DF">
        <w:rPr>
          <w:rFonts w:ascii="Times New Roman" w:eastAsia="Times New Roman" w:hAnsi="Times New Roman" w:cs="Times New Roman"/>
          <w:color w:val="000000" w:themeColor="text1"/>
          <w:sz w:val="24"/>
          <w:szCs w:val="24"/>
        </w:rPr>
        <w:br/>
        <w:t xml:space="preserve">Kontaktná osoba: </w:t>
      </w:r>
      <w:r w:rsidRPr="00C148DF">
        <w:rPr>
          <w:rFonts w:ascii="Times New Roman" w:hAnsi="Times New Roman" w:cs="Times New Roman"/>
          <w:b/>
          <w:sz w:val="24"/>
          <w:szCs w:val="24"/>
        </w:rPr>
        <w:t xml:space="preserve"> </w:t>
      </w:r>
      <w:r w:rsidRPr="00C148DF">
        <w:rPr>
          <w:rFonts w:ascii="Times New Roman" w:hAnsi="Times New Roman" w:cs="Times New Roman"/>
          <w:sz w:val="24"/>
          <w:szCs w:val="24"/>
        </w:rPr>
        <w:t>Ing. Anton Cerman, PhD.</w:t>
      </w:r>
    </w:p>
    <w:p w14:paraId="6860905E" w14:textId="38D9730E" w:rsidR="00B27340" w:rsidRPr="00C148DF" w:rsidRDefault="00B27340" w:rsidP="00F379A9">
      <w:pPr>
        <w:rPr>
          <w:rFonts w:ascii="Times New Roman" w:hAnsi="Times New Roman" w:cs="Times New Roman"/>
          <w:sz w:val="24"/>
          <w:szCs w:val="24"/>
          <w:lang w:eastAsia="cs-CZ"/>
        </w:rPr>
      </w:pPr>
    </w:p>
    <w:p w14:paraId="4F6A90D9" w14:textId="77777777" w:rsidR="00ED2101" w:rsidRPr="00C148DF" w:rsidRDefault="00ED2101" w:rsidP="00F379A9">
      <w:pPr>
        <w:rPr>
          <w:rFonts w:ascii="Times New Roman" w:hAnsi="Times New Roman" w:cs="Times New Roman"/>
          <w:sz w:val="24"/>
          <w:szCs w:val="24"/>
          <w:lang w:eastAsia="cs-CZ"/>
        </w:rPr>
      </w:pPr>
    </w:p>
    <w:p w14:paraId="4643AA7A" w14:textId="77777777" w:rsidR="00ED2101" w:rsidRPr="00C148DF" w:rsidRDefault="00ED2101" w:rsidP="00F379A9">
      <w:pPr>
        <w:rPr>
          <w:rFonts w:ascii="Times New Roman" w:hAnsi="Times New Roman" w:cs="Times New Roman"/>
          <w:sz w:val="24"/>
          <w:szCs w:val="24"/>
          <w:lang w:eastAsia="cs-CZ"/>
        </w:rPr>
      </w:pPr>
    </w:p>
    <w:p w14:paraId="2CEFD566" w14:textId="77777777" w:rsidR="00ED2101" w:rsidRPr="00C148DF" w:rsidRDefault="00ED2101" w:rsidP="00F379A9">
      <w:pPr>
        <w:rPr>
          <w:rFonts w:ascii="Times New Roman" w:hAnsi="Times New Roman" w:cs="Times New Roman"/>
          <w:sz w:val="24"/>
          <w:szCs w:val="24"/>
          <w:lang w:eastAsia="cs-CZ"/>
        </w:rPr>
      </w:pPr>
    </w:p>
    <w:p w14:paraId="76F6C1D2" w14:textId="77777777" w:rsidR="00ED2101" w:rsidRPr="00C148DF" w:rsidRDefault="00ED2101" w:rsidP="00F379A9">
      <w:pPr>
        <w:rPr>
          <w:rFonts w:ascii="Times New Roman" w:hAnsi="Times New Roman" w:cs="Times New Roman"/>
          <w:sz w:val="24"/>
          <w:szCs w:val="24"/>
          <w:lang w:eastAsia="cs-CZ"/>
        </w:rPr>
      </w:pPr>
    </w:p>
    <w:p w14:paraId="737679EA" w14:textId="77777777" w:rsidR="00ED2101" w:rsidRPr="00C148DF" w:rsidRDefault="00ED2101" w:rsidP="00F379A9">
      <w:pPr>
        <w:rPr>
          <w:rFonts w:ascii="Times New Roman" w:hAnsi="Times New Roman" w:cs="Times New Roman"/>
          <w:sz w:val="24"/>
          <w:szCs w:val="24"/>
          <w:lang w:eastAsia="cs-CZ"/>
        </w:rPr>
      </w:pPr>
    </w:p>
    <w:p w14:paraId="2330041D" w14:textId="77777777" w:rsidR="00ED2101" w:rsidRPr="00C148DF" w:rsidRDefault="00ED2101" w:rsidP="00F379A9">
      <w:pPr>
        <w:rPr>
          <w:rFonts w:ascii="Times New Roman" w:hAnsi="Times New Roman" w:cs="Times New Roman"/>
          <w:sz w:val="24"/>
          <w:szCs w:val="24"/>
          <w:lang w:eastAsia="cs-CZ"/>
        </w:rPr>
      </w:pPr>
    </w:p>
    <w:p w14:paraId="041A9AFD" w14:textId="77777777" w:rsidR="00ED2101" w:rsidRPr="00C148DF" w:rsidRDefault="00ED2101" w:rsidP="00F379A9">
      <w:pPr>
        <w:rPr>
          <w:rFonts w:ascii="Times New Roman" w:hAnsi="Times New Roman" w:cs="Times New Roman"/>
          <w:sz w:val="24"/>
          <w:szCs w:val="24"/>
          <w:lang w:eastAsia="cs-CZ"/>
        </w:rPr>
      </w:pPr>
    </w:p>
    <w:p w14:paraId="0BB89635" w14:textId="77777777" w:rsidR="00ED2101" w:rsidRPr="00C148DF" w:rsidRDefault="00ED2101" w:rsidP="00F379A9">
      <w:pPr>
        <w:rPr>
          <w:rFonts w:ascii="Times New Roman" w:hAnsi="Times New Roman" w:cs="Times New Roman"/>
          <w:sz w:val="24"/>
          <w:szCs w:val="24"/>
          <w:lang w:eastAsia="cs-CZ"/>
        </w:rPr>
      </w:pPr>
    </w:p>
    <w:p w14:paraId="43672EDE" w14:textId="77777777" w:rsidR="00ED2101" w:rsidRPr="00C148DF" w:rsidRDefault="00ED2101" w:rsidP="00F379A9">
      <w:pPr>
        <w:rPr>
          <w:rFonts w:ascii="Times New Roman" w:hAnsi="Times New Roman" w:cs="Times New Roman"/>
          <w:sz w:val="24"/>
          <w:szCs w:val="24"/>
          <w:lang w:eastAsia="cs-CZ"/>
        </w:rPr>
      </w:pPr>
    </w:p>
    <w:p w14:paraId="687DDCA7" w14:textId="77777777" w:rsidR="00ED2101" w:rsidRPr="00C148DF" w:rsidRDefault="00ED2101" w:rsidP="00F379A9">
      <w:pPr>
        <w:rPr>
          <w:rFonts w:ascii="Times New Roman" w:hAnsi="Times New Roman" w:cs="Times New Roman"/>
          <w:sz w:val="24"/>
          <w:szCs w:val="24"/>
          <w:lang w:eastAsia="cs-CZ"/>
        </w:rPr>
      </w:pPr>
    </w:p>
    <w:p w14:paraId="3F86E2FC" w14:textId="77777777" w:rsidR="00ED2101" w:rsidRPr="00C148DF" w:rsidRDefault="00ED2101" w:rsidP="00F379A9">
      <w:pPr>
        <w:rPr>
          <w:rFonts w:ascii="Times New Roman" w:hAnsi="Times New Roman" w:cs="Times New Roman"/>
          <w:sz w:val="24"/>
          <w:szCs w:val="24"/>
          <w:lang w:eastAsia="cs-CZ"/>
        </w:rPr>
      </w:pPr>
    </w:p>
    <w:p w14:paraId="34BEC21A" w14:textId="77777777" w:rsidR="00ED2101" w:rsidRPr="00C148DF" w:rsidRDefault="00ED2101" w:rsidP="00F379A9">
      <w:pPr>
        <w:rPr>
          <w:rFonts w:ascii="Times New Roman" w:hAnsi="Times New Roman" w:cs="Times New Roman"/>
          <w:sz w:val="24"/>
          <w:szCs w:val="24"/>
          <w:lang w:eastAsia="cs-CZ"/>
        </w:rPr>
      </w:pPr>
    </w:p>
    <w:p w14:paraId="15293025" w14:textId="77777777" w:rsidR="00ED2101" w:rsidRPr="00C148DF" w:rsidRDefault="00ED2101" w:rsidP="00F379A9">
      <w:pPr>
        <w:rPr>
          <w:rFonts w:ascii="Times New Roman" w:hAnsi="Times New Roman" w:cs="Times New Roman"/>
          <w:sz w:val="24"/>
          <w:szCs w:val="24"/>
          <w:lang w:eastAsia="cs-CZ"/>
        </w:rPr>
      </w:pPr>
    </w:p>
    <w:p w14:paraId="6828C6F8" w14:textId="77777777" w:rsidR="00ED2101" w:rsidRPr="00C148DF" w:rsidRDefault="00ED2101" w:rsidP="00F379A9">
      <w:pPr>
        <w:rPr>
          <w:rFonts w:ascii="Times New Roman" w:hAnsi="Times New Roman" w:cs="Times New Roman"/>
          <w:sz w:val="24"/>
          <w:szCs w:val="24"/>
          <w:lang w:eastAsia="cs-CZ"/>
        </w:rPr>
      </w:pPr>
    </w:p>
    <w:p w14:paraId="07DA840C" w14:textId="77777777" w:rsidR="00ED2101" w:rsidRPr="00C148DF" w:rsidRDefault="00ED2101" w:rsidP="00F379A9">
      <w:pPr>
        <w:rPr>
          <w:rFonts w:ascii="Times New Roman" w:hAnsi="Times New Roman" w:cs="Times New Roman"/>
          <w:sz w:val="24"/>
          <w:szCs w:val="24"/>
          <w:lang w:eastAsia="cs-CZ"/>
        </w:rPr>
      </w:pPr>
    </w:p>
    <w:p w14:paraId="6508799A" w14:textId="77777777" w:rsidR="00ED2101" w:rsidRPr="00C148DF" w:rsidRDefault="00ED2101" w:rsidP="00F379A9">
      <w:pPr>
        <w:rPr>
          <w:rFonts w:ascii="Times New Roman" w:hAnsi="Times New Roman" w:cs="Times New Roman"/>
          <w:sz w:val="24"/>
          <w:szCs w:val="24"/>
          <w:lang w:eastAsia="cs-CZ"/>
        </w:rPr>
      </w:pPr>
    </w:p>
    <w:p w14:paraId="112E0076" w14:textId="77777777" w:rsidR="00ED2101" w:rsidRPr="00C148DF" w:rsidRDefault="00ED2101" w:rsidP="00F379A9">
      <w:pPr>
        <w:rPr>
          <w:rFonts w:ascii="Times New Roman" w:hAnsi="Times New Roman" w:cs="Times New Roman"/>
          <w:sz w:val="24"/>
          <w:szCs w:val="24"/>
          <w:lang w:eastAsia="cs-CZ"/>
        </w:rPr>
      </w:pPr>
    </w:p>
    <w:p w14:paraId="2CD4577B" w14:textId="77777777" w:rsidR="00ED2101" w:rsidRPr="00C148DF" w:rsidRDefault="00ED2101" w:rsidP="00F379A9">
      <w:pPr>
        <w:rPr>
          <w:rFonts w:ascii="Times New Roman" w:hAnsi="Times New Roman" w:cs="Times New Roman"/>
          <w:sz w:val="24"/>
          <w:szCs w:val="24"/>
          <w:lang w:eastAsia="cs-CZ"/>
        </w:rPr>
      </w:pPr>
    </w:p>
    <w:p w14:paraId="692CCE64" w14:textId="77777777" w:rsidR="00ED2101" w:rsidRPr="004C7A1E" w:rsidRDefault="00ED2101" w:rsidP="00F379A9">
      <w:pPr>
        <w:rPr>
          <w:sz w:val="24"/>
          <w:szCs w:val="24"/>
          <w:lang w:eastAsia="cs-CZ"/>
        </w:rPr>
      </w:pPr>
    </w:p>
    <w:p w14:paraId="5B8F5591" w14:textId="77777777" w:rsidR="00B27340" w:rsidRPr="00D336A5" w:rsidRDefault="00B27340" w:rsidP="00B27340">
      <w:pPr>
        <w:spacing w:before="240" w:after="60"/>
        <w:jc w:val="center"/>
        <w:outlineLvl w:val="4"/>
        <w:rPr>
          <w:rFonts w:ascii="Times New Roman" w:hAnsi="Times New Roman" w:cs="Times New Roman"/>
          <w:b/>
          <w:bCs/>
          <w:sz w:val="30"/>
          <w:szCs w:val="30"/>
        </w:rPr>
      </w:pPr>
      <w:r w:rsidRPr="00D336A5">
        <w:rPr>
          <w:rFonts w:ascii="Times New Roman" w:hAnsi="Times New Roman" w:cs="Times New Roman"/>
          <w:b/>
          <w:bCs/>
          <w:sz w:val="30"/>
          <w:szCs w:val="30"/>
        </w:rPr>
        <w:lastRenderedPageBreak/>
        <w:t>Správa</w:t>
      </w:r>
    </w:p>
    <w:p w14:paraId="24D27957" w14:textId="77777777" w:rsidR="00B27340" w:rsidRPr="00D336A5" w:rsidRDefault="00B27340" w:rsidP="00B27340">
      <w:pPr>
        <w:jc w:val="center"/>
        <w:rPr>
          <w:rFonts w:ascii="Times New Roman" w:hAnsi="Times New Roman" w:cs="Times New Roman"/>
          <w:b/>
          <w:bCs/>
          <w:sz w:val="30"/>
          <w:szCs w:val="30"/>
          <w:lang w:eastAsia="cs-CZ"/>
        </w:rPr>
      </w:pPr>
      <w:r w:rsidRPr="00D336A5">
        <w:rPr>
          <w:rFonts w:ascii="Times New Roman" w:hAnsi="Times New Roman" w:cs="Times New Roman"/>
          <w:b/>
          <w:bCs/>
          <w:sz w:val="30"/>
          <w:szCs w:val="30"/>
          <w:lang w:eastAsia="cs-CZ"/>
        </w:rPr>
        <w:t>o výsledkoch monitorovania bezpečnosti dodávok plynu</w:t>
      </w:r>
    </w:p>
    <w:p w14:paraId="4430230C" w14:textId="77777777" w:rsidR="00B27340" w:rsidRPr="00CE75FC" w:rsidRDefault="00B27340" w:rsidP="00B27340">
      <w:pPr>
        <w:jc w:val="center"/>
        <w:rPr>
          <w:rFonts w:ascii="Times New Roman" w:hAnsi="Times New Roman" w:cs="Times New Roman"/>
          <w:b/>
          <w:bCs/>
          <w:sz w:val="30"/>
          <w:szCs w:val="30"/>
          <w:lang w:eastAsia="cs-CZ"/>
        </w:rPr>
      </w:pPr>
      <w:r w:rsidRPr="00CE75FC">
        <w:rPr>
          <w:rFonts w:ascii="Times New Roman" w:hAnsi="Times New Roman" w:cs="Times New Roman"/>
          <w:b/>
          <w:bCs/>
          <w:sz w:val="30"/>
          <w:szCs w:val="30"/>
          <w:lang w:eastAsia="cs-CZ"/>
        </w:rPr>
        <w:t>júl 2020</w:t>
      </w:r>
    </w:p>
    <w:p w14:paraId="05BD6119" w14:textId="77777777" w:rsidR="00B27340" w:rsidRPr="00BB7A6F" w:rsidRDefault="00B27340" w:rsidP="00B27340">
      <w:pPr>
        <w:keepNext/>
        <w:spacing w:before="60"/>
        <w:jc w:val="both"/>
        <w:outlineLvl w:val="0"/>
        <w:rPr>
          <w:rFonts w:ascii="Times New Roman" w:hAnsi="Times New Roman" w:cs="Times New Roman"/>
          <w:b/>
          <w:bCs/>
          <w:sz w:val="24"/>
          <w:szCs w:val="24"/>
          <w:lang w:eastAsia="cs-CZ"/>
        </w:rPr>
      </w:pPr>
      <w:r w:rsidRPr="00BB7A6F">
        <w:rPr>
          <w:rFonts w:ascii="Times New Roman" w:hAnsi="Times New Roman" w:cs="Times New Roman"/>
          <w:b/>
          <w:bCs/>
          <w:sz w:val="24"/>
          <w:szCs w:val="24"/>
          <w:lang w:eastAsia="cs-CZ"/>
        </w:rPr>
        <w:t>1. Úvod</w:t>
      </w:r>
    </w:p>
    <w:p w14:paraId="13ABE33C" w14:textId="07E5EF35"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Správu o výsledkoch monitorovania bezpečnosti dodávok zemného plynu Ministerstvo hospodárstva Slovenskej republiky (ďalej len „ministerstvo“) uverejňuje každoročne na základe ustanovenia § 88 ods. 2 písm. j) a ods. 11 zákona č. 251/2012 Z. z. o energetike a o zmene a doplnení niektorých zákonov v znení neskorších predpisov (ďalej len „zákon o energetike“).</w:t>
      </w:r>
    </w:p>
    <w:p w14:paraId="60F8A985" w14:textId="1B1687EB" w:rsidR="00B27340" w:rsidRPr="00BB7A6F" w:rsidRDefault="00F27DBD" w:rsidP="00B27340">
      <w:pPr>
        <w:jc w:val="both"/>
        <w:rPr>
          <w:rFonts w:ascii="Times New Roman" w:hAnsi="Times New Roman" w:cs="Times New Roman"/>
          <w:sz w:val="24"/>
          <w:szCs w:val="24"/>
          <w:lang w:eastAsia="cs-CZ"/>
        </w:rPr>
      </w:pPr>
      <w:r w:rsidRPr="00B8646A">
        <w:rPr>
          <w:rFonts w:ascii="Times New Roman" w:hAnsi="Times New Roman" w:cs="Times New Roman"/>
          <w:sz w:val="20"/>
          <w:szCs w:val="20"/>
          <w:lang w:eastAsia="cs-CZ"/>
        </w:rPr>
        <w:br/>
      </w:r>
      <w:r w:rsidR="00B27340" w:rsidRPr="00BB7A6F">
        <w:rPr>
          <w:rFonts w:ascii="Times New Roman" w:hAnsi="Times New Roman" w:cs="Times New Roman"/>
          <w:sz w:val="24"/>
          <w:szCs w:val="24"/>
          <w:lang w:eastAsia="cs-CZ"/>
        </w:rPr>
        <w:t>Správa je vypracovaná v súlade so štruktúrou podľa článku 5 smernice Európskeho parlamentu a Rady č. 2009/73/ES z 13. júla 2009 o spoločných pravidlách pre vnútorný trh s plynom, ktorou sa zrušuje smernica 2003/55/ES ako aj v zmysle ustanovení n</w:t>
      </w:r>
      <w:r w:rsidR="00B27340" w:rsidRPr="00BB7A6F">
        <w:rPr>
          <w:rFonts w:ascii="Times New Roman" w:hAnsi="Times New Roman" w:cs="Times New Roman"/>
          <w:color w:val="000000"/>
          <w:sz w:val="24"/>
          <w:szCs w:val="24"/>
          <w:lang w:eastAsia="cs-CZ"/>
        </w:rPr>
        <w:t>ariadenia Európskeho parlamentu a Rady (EÚ) 2017/1938 z 25. októbra 2017 o opatreniach na zaistenie bezpečnosti dodávok plynu a o zrušení nariadenia (EÚ) č. 994/2010 (ďalej len „nariadenie“).</w:t>
      </w:r>
    </w:p>
    <w:p w14:paraId="26C09A42" w14:textId="4A68F6AC" w:rsidR="00B27340" w:rsidRPr="00BB7A6F" w:rsidRDefault="00F27DBD" w:rsidP="00B27340">
      <w:pPr>
        <w:jc w:val="both"/>
        <w:rPr>
          <w:rFonts w:ascii="Times New Roman" w:hAnsi="Times New Roman" w:cs="Times New Roman"/>
          <w:sz w:val="24"/>
          <w:szCs w:val="24"/>
          <w:lang w:eastAsia="cs-CZ"/>
        </w:rPr>
      </w:pPr>
      <w:r w:rsidRPr="00B8646A">
        <w:rPr>
          <w:rFonts w:ascii="Times New Roman" w:hAnsi="Times New Roman" w:cs="Times New Roman"/>
          <w:sz w:val="20"/>
          <w:szCs w:val="20"/>
          <w:lang w:eastAsia="cs-CZ"/>
        </w:rPr>
        <w:br/>
      </w:r>
      <w:r w:rsidR="00B27340" w:rsidRPr="00BB7A6F">
        <w:rPr>
          <w:rFonts w:ascii="Times New Roman" w:hAnsi="Times New Roman" w:cs="Times New Roman"/>
          <w:sz w:val="24"/>
          <w:szCs w:val="24"/>
          <w:lang w:eastAsia="cs-CZ"/>
        </w:rPr>
        <w:t>Bezpečnosť dodávky plynu je zákonom o energetike definovaná ako schopnosť siete zásobovať koncových odberateľov plynu, zabezpečenie technickej bezpečnosti energetických zariadení a rovnováhy ponuky a dopytu plynu na vymedzenom území alebo jeho časti.</w:t>
      </w:r>
    </w:p>
    <w:p w14:paraId="575F16FC" w14:textId="37CBF615" w:rsidR="00B27340" w:rsidRPr="00BB7A6F" w:rsidRDefault="00F27DBD" w:rsidP="00B27340">
      <w:pPr>
        <w:jc w:val="both"/>
        <w:rPr>
          <w:rFonts w:ascii="Times New Roman" w:hAnsi="Times New Roman" w:cs="Times New Roman"/>
          <w:sz w:val="24"/>
          <w:szCs w:val="24"/>
          <w:lang w:eastAsia="cs-CZ"/>
        </w:rPr>
      </w:pPr>
      <w:r w:rsidRPr="00B8646A">
        <w:rPr>
          <w:rFonts w:ascii="Times New Roman" w:hAnsi="Times New Roman" w:cs="Times New Roman"/>
          <w:sz w:val="20"/>
          <w:szCs w:val="20"/>
          <w:lang w:eastAsia="cs-CZ"/>
        </w:rPr>
        <w:br/>
      </w:r>
      <w:r w:rsidR="00B27340" w:rsidRPr="00BB7A6F">
        <w:rPr>
          <w:rFonts w:ascii="Times New Roman" w:hAnsi="Times New Roman" w:cs="Times New Roman"/>
          <w:sz w:val="24"/>
          <w:szCs w:val="24"/>
          <w:lang w:eastAsia="cs-CZ"/>
        </w:rPr>
        <w:t xml:space="preserve">Od 1. januára 2005 bola zákonom o energetike ustanovená kompetencia ministerstva vo vzťahu k sledovaniu dodržiavania bezpečnosti dodávok plynu, vypracovaniu a zverejneniu Správy o výsledkoch monitorovania bezpečnosti dodávok plynu. Správu vypracováva ministerstvo s využitím podkladov od účastníkov trhu s plynom poskytovaných na základe vyhlášky Ministerstva hospodárstva Slovenskej republiky č. 193/2014 Z. z., ktorou sa ustanovujú podrobnosti o rozsahu a postupe pri poskytovaní informácií nevyhnutných na výkon štátnej správy (ďalej len „vyhláška č. 193/2014“). </w:t>
      </w:r>
    </w:p>
    <w:p w14:paraId="387C0213"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Táto správa sa primárne zaoberá obdobím od 1. januára 2019 do 31. decembra 2019, pokiaľ nie je uvedené inak.</w:t>
      </w:r>
    </w:p>
    <w:p w14:paraId="0F352D16" w14:textId="606896EB" w:rsidR="00B27340" w:rsidRPr="00BB7A6F" w:rsidRDefault="00E1031B" w:rsidP="00B27340">
      <w:pPr>
        <w:spacing w:before="60"/>
        <w:jc w:val="both"/>
        <w:rPr>
          <w:rFonts w:ascii="Times New Roman" w:hAnsi="Times New Roman" w:cs="Times New Roman"/>
          <w:b/>
          <w:bCs/>
          <w:sz w:val="24"/>
          <w:szCs w:val="24"/>
          <w:lang w:eastAsia="cs-CZ"/>
        </w:rPr>
      </w:pPr>
      <w:r w:rsidRPr="00B8646A">
        <w:rPr>
          <w:rFonts w:ascii="Times New Roman" w:hAnsi="Times New Roman" w:cs="Times New Roman"/>
          <w:b/>
          <w:bCs/>
          <w:sz w:val="20"/>
          <w:szCs w:val="20"/>
          <w:lang w:eastAsia="cs-CZ"/>
        </w:rPr>
        <w:br/>
      </w:r>
      <w:r w:rsidR="00B27340" w:rsidRPr="00BB7A6F">
        <w:rPr>
          <w:rFonts w:ascii="Times New Roman" w:hAnsi="Times New Roman" w:cs="Times New Roman"/>
          <w:b/>
          <w:bCs/>
          <w:sz w:val="24"/>
          <w:szCs w:val="24"/>
          <w:lang w:eastAsia="cs-CZ"/>
        </w:rPr>
        <w:t>2. Dodávka a spotreba plynu, očakávaná spotreba a dostupné dodávky</w:t>
      </w:r>
    </w:p>
    <w:p w14:paraId="172ED4D8"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Spotreba zemného plynu v Slovenskej republike v roku 2019 dosiahla takmer 5 mld. m</w:t>
      </w:r>
      <w:r w:rsidRPr="00BB7A6F">
        <w:rPr>
          <w:rFonts w:ascii="Times New Roman" w:hAnsi="Times New Roman" w:cs="Times New Roman"/>
          <w:sz w:val="24"/>
          <w:szCs w:val="24"/>
          <w:vertAlign w:val="superscript"/>
          <w:lang w:eastAsia="cs-CZ"/>
        </w:rPr>
        <w:t>3</w:t>
      </w:r>
      <w:r w:rsidRPr="00BB7A6F">
        <w:rPr>
          <w:rFonts w:ascii="Times New Roman" w:hAnsi="Times New Roman" w:cs="Times New Roman"/>
          <w:sz w:val="24"/>
          <w:szCs w:val="24"/>
          <w:lang w:eastAsia="cs-CZ"/>
        </w:rPr>
        <w:t>. Viac ako 98 % domácej spotreby plynu tvorí import.</w:t>
      </w:r>
    </w:p>
    <w:p w14:paraId="1F5B7FB3"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Vývoj spotreby zemného plynu (2015 – 2019)</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1"/>
        <w:gridCol w:w="1344"/>
        <w:gridCol w:w="1335"/>
        <w:gridCol w:w="1335"/>
        <w:gridCol w:w="1329"/>
        <w:gridCol w:w="1327"/>
      </w:tblGrid>
      <w:tr w:rsidR="00B27340" w:rsidRPr="00BB7A6F" w14:paraId="3E26C8E9" w14:textId="77777777" w:rsidTr="00E1031B">
        <w:tc>
          <w:tcPr>
            <w:tcW w:w="1583" w:type="pct"/>
            <w:shd w:val="clear" w:color="auto" w:fill="FFFFFF"/>
            <w:vAlign w:val="center"/>
          </w:tcPr>
          <w:p w14:paraId="42D70D16" w14:textId="77777777" w:rsidR="00B27340" w:rsidRPr="00BB7A6F" w:rsidRDefault="00B27340" w:rsidP="00B27340">
            <w:pPr>
              <w:spacing w:before="60" w:after="60" w:line="360" w:lineRule="atLeast"/>
              <w:jc w:val="center"/>
              <w:rPr>
                <w:rFonts w:ascii="Times New Roman" w:hAnsi="Times New Roman" w:cs="Times New Roman"/>
                <w:sz w:val="24"/>
                <w:szCs w:val="24"/>
                <w:lang w:eastAsia="de-DE"/>
              </w:rPr>
            </w:pPr>
            <w:r w:rsidRPr="00BB7A6F">
              <w:rPr>
                <w:rFonts w:ascii="Times New Roman" w:hAnsi="Times New Roman" w:cs="Times New Roman"/>
                <w:sz w:val="24"/>
                <w:szCs w:val="24"/>
                <w:lang w:eastAsia="de-DE"/>
              </w:rPr>
              <w:t>Rok</w:t>
            </w:r>
          </w:p>
        </w:tc>
        <w:tc>
          <w:tcPr>
            <w:tcW w:w="688" w:type="pct"/>
            <w:shd w:val="clear" w:color="auto" w:fill="FFFFFF"/>
            <w:vAlign w:val="center"/>
          </w:tcPr>
          <w:p w14:paraId="4F1DE978"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2015</w:t>
            </w:r>
          </w:p>
        </w:tc>
        <w:tc>
          <w:tcPr>
            <w:tcW w:w="684" w:type="pct"/>
            <w:shd w:val="clear" w:color="auto" w:fill="FFFFFF"/>
            <w:vAlign w:val="center"/>
          </w:tcPr>
          <w:p w14:paraId="499290B0"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2016</w:t>
            </w:r>
          </w:p>
        </w:tc>
        <w:tc>
          <w:tcPr>
            <w:tcW w:w="684" w:type="pct"/>
            <w:shd w:val="clear" w:color="auto" w:fill="FFFFFF"/>
            <w:vAlign w:val="center"/>
          </w:tcPr>
          <w:p w14:paraId="16C57F97"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2017</w:t>
            </w:r>
          </w:p>
        </w:tc>
        <w:tc>
          <w:tcPr>
            <w:tcW w:w="681" w:type="pct"/>
            <w:shd w:val="clear" w:color="auto" w:fill="FFFFFF"/>
          </w:tcPr>
          <w:p w14:paraId="31BC7A8E"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2018</w:t>
            </w:r>
          </w:p>
        </w:tc>
        <w:tc>
          <w:tcPr>
            <w:tcW w:w="680" w:type="pct"/>
            <w:shd w:val="clear" w:color="auto" w:fill="FFFFFF"/>
          </w:tcPr>
          <w:p w14:paraId="26B663FE"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2019</w:t>
            </w:r>
          </w:p>
        </w:tc>
      </w:tr>
      <w:tr w:rsidR="00B27340" w:rsidRPr="00BB7A6F" w14:paraId="7151699F" w14:textId="77777777" w:rsidTr="00E1031B">
        <w:tc>
          <w:tcPr>
            <w:tcW w:w="1583" w:type="pct"/>
            <w:vAlign w:val="center"/>
          </w:tcPr>
          <w:p w14:paraId="70F670FA" w14:textId="77777777" w:rsidR="00B27340" w:rsidRPr="00BB7A6F" w:rsidRDefault="00B27340" w:rsidP="00B27340">
            <w:pPr>
              <w:spacing w:before="60" w:after="60" w:line="360" w:lineRule="atLeast"/>
              <w:jc w:val="center"/>
              <w:rPr>
                <w:rFonts w:ascii="Times New Roman" w:hAnsi="Times New Roman" w:cs="Times New Roman"/>
                <w:bCs/>
                <w:sz w:val="24"/>
                <w:lang w:eastAsia="de-DE"/>
              </w:rPr>
            </w:pPr>
            <w:r w:rsidRPr="00BB7A6F">
              <w:rPr>
                <w:rFonts w:ascii="Times New Roman" w:hAnsi="Times New Roman" w:cs="Times New Roman"/>
                <w:bCs/>
                <w:sz w:val="24"/>
                <w:lang w:eastAsia="de-DE"/>
              </w:rPr>
              <w:t xml:space="preserve">Celková spotreba </w:t>
            </w:r>
            <w:r w:rsidRPr="00BB7A6F">
              <w:rPr>
                <w:rFonts w:ascii="Times New Roman" w:hAnsi="Times New Roman" w:cs="Times New Roman"/>
                <w:sz w:val="23"/>
                <w:lang w:eastAsia="de-DE"/>
              </w:rPr>
              <w:t>[mld. m</w:t>
            </w:r>
            <w:r w:rsidRPr="00BB7A6F">
              <w:rPr>
                <w:rFonts w:ascii="Times New Roman" w:hAnsi="Times New Roman" w:cs="Times New Roman"/>
                <w:sz w:val="23"/>
                <w:vertAlign w:val="superscript"/>
                <w:lang w:eastAsia="de-DE"/>
              </w:rPr>
              <w:t>3</w:t>
            </w:r>
            <w:r w:rsidRPr="00BB7A6F">
              <w:rPr>
                <w:rFonts w:ascii="Times New Roman" w:hAnsi="Times New Roman" w:cs="Times New Roman"/>
                <w:sz w:val="23"/>
                <w:lang w:eastAsia="de-DE"/>
              </w:rPr>
              <w:t>]</w:t>
            </w:r>
          </w:p>
        </w:tc>
        <w:tc>
          <w:tcPr>
            <w:tcW w:w="688" w:type="pct"/>
            <w:vAlign w:val="center"/>
          </w:tcPr>
          <w:p w14:paraId="39591AF6"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4,8</w:t>
            </w:r>
          </w:p>
        </w:tc>
        <w:tc>
          <w:tcPr>
            <w:tcW w:w="684" w:type="pct"/>
            <w:vAlign w:val="center"/>
          </w:tcPr>
          <w:p w14:paraId="2A6C17AD"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4,8</w:t>
            </w:r>
          </w:p>
        </w:tc>
        <w:tc>
          <w:tcPr>
            <w:tcW w:w="684" w:type="pct"/>
            <w:vAlign w:val="center"/>
          </w:tcPr>
          <w:p w14:paraId="0FD50631"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5,1</w:t>
            </w:r>
          </w:p>
        </w:tc>
        <w:tc>
          <w:tcPr>
            <w:tcW w:w="681" w:type="pct"/>
          </w:tcPr>
          <w:p w14:paraId="7A5B3E12"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4,9</w:t>
            </w:r>
          </w:p>
        </w:tc>
        <w:tc>
          <w:tcPr>
            <w:tcW w:w="680" w:type="pct"/>
          </w:tcPr>
          <w:p w14:paraId="19692231"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5,0</w:t>
            </w:r>
          </w:p>
        </w:tc>
      </w:tr>
    </w:tbl>
    <w:p w14:paraId="5B4DDEF6"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i/>
          <w:sz w:val="16"/>
          <w:szCs w:val="16"/>
          <w:lang w:eastAsia="cs-CZ"/>
        </w:rPr>
        <w:t xml:space="preserve">Zdroj: SPP – distribúcia, a.s.; </w:t>
      </w:r>
      <w:proofErr w:type="spellStart"/>
      <w:r w:rsidRPr="00BB7A6F">
        <w:rPr>
          <w:rFonts w:ascii="Times New Roman" w:hAnsi="Times New Roman" w:cs="Times New Roman"/>
          <w:i/>
          <w:sz w:val="16"/>
          <w:szCs w:val="16"/>
          <w:lang w:eastAsia="cs-CZ"/>
        </w:rPr>
        <w:t>GasTrading</w:t>
      </w:r>
      <w:proofErr w:type="spellEnd"/>
      <w:r w:rsidRPr="00BB7A6F">
        <w:rPr>
          <w:rFonts w:ascii="Times New Roman" w:hAnsi="Times New Roman" w:cs="Times New Roman"/>
          <w:i/>
          <w:sz w:val="16"/>
          <w:szCs w:val="16"/>
          <w:lang w:eastAsia="cs-CZ"/>
        </w:rPr>
        <w:t>, s.r.o.</w:t>
      </w:r>
    </w:p>
    <w:p w14:paraId="30B2D9C0"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lastRenderedPageBreak/>
        <w:t>Domáca ťažba zemného plynu v roku 2019 dosiahla 75 mil. m</w:t>
      </w:r>
      <w:r w:rsidRPr="00BB7A6F">
        <w:rPr>
          <w:rFonts w:ascii="Times New Roman" w:hAnsi="Times New Roman" w:cs="Times New Roman"/>
          <w:sz w:val="24"/>
          <w:szCs w:val="24"/>
          <w:vertAlign w:val="superscript"/>
          <w:lang w:eastAsia="cs-CZ"/>
        </w:rPr>
        <w:t>3</w:t>
      </w:r>
      <w:r w:rsidRPr="00BB7A6F">
        <w:rPr>
          <w:rFonts w:ascii="Times New Roman" w:hAnsi="Times New Roman" w:cs="Times New Roman"/>
          <w:sz w:val="24"/>
          <w:szCs w:val="24"/>
          <w:lang w:eastAsia="cs-CZ"/>
        </w:rPr>
        <w:t>. V dlhodobom horizonte sa predpokladá pokračovanie ťažby zemného plynu zo súčasných zdrojov s klesajúcim trendom. Zmeny do tohto trendu môžu priniesť len novoobjavené ložiská – ťažené objemy však budú závisieť od rozsahu, charakteru a lokalizácie prípadných nových ložísk. Nezanedbateľným faktorom bude aj ekonomická náročnosť ťažby z takýchto ložísk.</w:t>
      </w:r>
    </w:p>
    <w:p w14:paraId="58585A10" w14:textId="77777777" w:rsidR="00B27340" w:rsidRPr="00BB7A6F" w:rsidRDefault="00B27340" w:rsidP="00B27340">
      <w:pPr>
        <w:spacing w:before="60"/>
        <w:jc w:val="both"/>
        <w:rPr>
          <w:rFonts w:ascii="Times New Roman" w:hAnsi="Times New Roman" w:cs="Times New Roman"/>
          <w:sz w:val="24"/>
          <w:szCs w:val="24"/>
          <w:lang w:eastAsia="cs-CZ"/>
        </w:rPr>
      </w:pPr>
    </w:p>
    <w:p w14:paraId="73A62523"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Vývoj ťažby zemného plynu (2015 – 2019)</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5"/>
        <w:gridCol w:w="1344"/>
        <w:gridCol w:w="1334"/>
        <w:gridCol w:w="1330"/>
        <w:gridCol w:w="1329"/>
        <w:gridCol w:w="1329"/>
      </w:tblGrid>
      <w:tr w:rsidR="00B27340" w:rsidRPr="00BB7A6F" w14:paraId="053D5D9A" w14:textId="77777777" w:rsidTr="00B27340">
        <w:tc>
          <w:tcPr>
            <w:tcW w:w="1585" w:type="pct"/>
            <w:shd w:val="clear" w:color="auto" w:fill="FFFFFF"/>
            <w:vAlign w:val="center"/>
          </w:tcPr>
          <w:p w14:paraId="336A6E5A" w14:textId="77777777" w:rsidR="00B27340" w:rsidRPr="00BB7A6F" w:rsidRDefault="00B27340" w:rsidP="00B27340">
            <w:pPr>
              <w:spacing w:before="60" w:after="60" w:line="360" w:lineRule="atLeast"/>
              <w:jc w:val="center"/>
              <w:rPr>
                <w:rFonts w:ascii="Times New Roman" w:hAnsi="Times New Roman" w:cs="Times New Roman"/>
                <w:sz w:val="24"/>
                <w:szCs w:val="24"/>
                <w:lang w:eastAsia="de-DE"/>
              </w:rPr>
            </w:pPr>
            <w:r w:rsidRPr="00BB7A6F">
              <w:rPr>
                <w:rFonts w:ascii="Times New Roman" w:hAnsi="Times New Roman" w:cs="Times New Roman"/>
                <w:sz w:val="24"/>
                <w:szCs w:val="24"/>
                <w:lang w:eastAsia="de-DE"/>
              </w:rPr>
              <w:t>Rok</w:t>
            </w:r>
          </w:p>
        </w:tc>
        <w:tc>
          <w:tcPr>
            <w:tcW w:w="688" w:type="pct"/>
            <w:shd w:val="clear" w:color="auto" w:fill="FFFFFF"/>
            <w:vAlign w:val="center"/>
          </w:tcPr>
          <w:p w14:paraId="151843EC"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2015</w:t>
            </w:r>
          </w:p>
        </w:tc>
        <w:tc>
          <w:tcPr>
            <w:tcW w:w="683" w:type="pct"/>
            <w:shd w:val="clear" w:color="auto" w:fill="FFFFFF"/>
            <w:vAlign w:val="center"/>
          </w:tcPr>
          <w:p w14:paraId="5EF26450"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2016</w:t>
            </w:r>
          </w:p>
        </w:tc>
        <w:tc>
          <w:tcPr>
            <w:tcW w:w="681" w:type="pct"/>
            <w:shd w:val="clear" w:color="auto" w:fill="FFFFFF"/>
            <w:vAlign w:val="center"/>
          </w:tcPr>
          <w:p w14:paraId="13FF3804"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2017</w:t>
            </w:r>
          </w:p>
        </w:tc>
        <w:tc>
          <w:tcPr>
            <w:tcW w:w="681" w:type="pct"/>
            <w:shd w:val="clear" w:color="auto" w:fill="FFFFFF"/>
          </w:tcPr>
          <w:p w14:paraId="4114BAF5"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2018</w:t>
            </w:r>
          </w:p>
        </w:tc>
        <w:tc>
          <w:tcPr>
            <w:tcW w:w="681" w:type="pct"/>
            <w:shd w:val="clear" w:color="auto" w:fill="FFFFFF"/>
          </w:tcPr>
          <w:p w14:paraId="53552A1C"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2019</w:t>
            </w:r>
          </w:p>
        </w:tc>
      </w:tr>
      <w:tr w:rsidR="00B27340" w:rsidRPr="00BB7A6F" w14:paraId="1A904A6C" w14:textId="77777777" w:rsidTr="00B27340">
        <w:tc>
          <w:tcPr>
            <w:tcW w:w="1585" w:type="pct"/>
            <w:vAlign w:val="center"/>
          </w:tcPr>
          <w:p w14:paraId="1E3C7FDD" w14:textId="77777777" w:rsidR="00B27340" w:rsidRPr="00BB7A6F" w:rsidRDefault="00B27340" w:rsidP="00B27340">
            <w:pPr>
              <w:spacing w:before="60" w:after="60" w:line="360" w:lineRule="atLeast"/>
              <w:jc w:val="center"/>
              <w:rPr>
                <w:rFonts w:ascii="Times New Roman" w:hAnsi="Times New Roman" w:cs="Times New Roman"/>
                <w:bCs/>
                <w:sz w:val="24"/>
                <w:lang w:eastAsia="de-DE"/>
              </w:rPr>
            </w:pPr>
            <w:r w:rsidRPr="00BB7A6F">
              <w:rPr>
                <w:rFonts w:ascii="Times New Roman" w:hAnsi="Times New Roman" w:cs="Times New Roman"/>
                <w:bCs/>
                <w:sz w:val="24"/>
                <w:lang w:eastAsia="de-DE"/>
              </w:rPr>
              <w:t xml:space="preserve">Celková ťažba </w:t>
            </w:r>
            <w:r w:rsidRPr="00BB7A6F">
              <w:rPr>
                <w:rFonts w:ascii="Times New Roman" w:hAnsi="Times New Roman" w:cs="Times New Roman"/>
                <w:sz w:val="23"/>
                <w:lang w:eastAsia="de-DE"/>
              </w:rPr>
              <w:t>[mil. m</w:t>
            </w:r>
            <w:r w:rsidRPr="00BB7A6F">
              <w:rPr>
                <w:rFonts w:ascii="Times New Roman" w:hAnsi="Times New Roman" w:cs="Times New Roman"/>
                <w:sz w:val="23"/>
                <w:vertAlign w:val="superscript"/>
                <w:lang w:eastAsia="de-DE"/>
              </w:rPr>
              <w:t>3</w:t>
            </w:r>
            <w:r w:rsidRPr="00BB7A6F">
              <w:rPr>
                <w:rFonts w:ascii="Times New Roman" w:hAnsi="Times New Roman" w:cs="Times New Roman"/>
                <w:sz w:val="23"/>
                <w:lang w:eastAsia="de-DE"/>
              </w:rPr>
              <w:t>]</w:t>
            </w:r>
          </w:p>
        </w:tc>
        <w:tc>
          <w:tcPr>
            <w:tcW w:w="688" w:type="pct"/>
            <w:vAlign w:val="center"/>
          </w:tcPr>
          <w:p w14:paraId="12020D7E"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86</w:t>
            </w:r>
          </w:p>
        </w:tc>
        <w:tc>
          <w:tcPr>
            <w:tcW w:w="683" w:type="pct"/>
            <w:vAlign w:val="center"/>
          </w:tcPr>
          <w:p w14:paraId="73CC43D5"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89</w:t>
            </w:r>
          </w:p>
        </w:tc>
        <w:tc>
          <w:tcPr>
            <w:tcW w:w="681" w:type="pct"/>
            <w:vAlign w:val="center"/>
          </w:tcPr>
          <w:p w14:paraId="7E5330E5"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90</w:t>
            </w:r>
          </w:p>
        </w:tc>
        <w:tc>
          <w:tcPr>
            <w:tcW w:w="681" w:type="pct"/>
          </w:tcPr>
          <w:p w14:paraId="5887BE65"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86</w:t>
            </w:r>
          </w:p>
        </w:tc>
        <w:tc>
          <w:tcPr>
            <w:tcW w:w="681" w:type="pct"/>
          </w:tcPr>
          <w:p w14:paraId="6AA0169C"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75</w:t>
            </w:r>
          </w:p>
        </w:tc>
      </w:tr>
    </w:tbl>
    <w:p w14:paraId="2C83CC5B" w14:textId="77777777" w:rsidR="00B27340" w:rsidRPr="00BB7A6F" w:rsidRDefault="00B27340" w:rsidP="00B27340">
      <w:pPr>
        <w:spacing w:before="60"/>
        <w:jc w:val="both"/>
        <w:rPr>
          <w:rFonts w:ascii="Times New Roman" w:hAnsi="Times New Roman" w:cs="Times New Roman"/>
          <w:sz w:val="24"/>
          <w:szCs w:val="24"/>
          <w:lang w:eastAsia="cs-CZ"/>
        </w:rPr>
      </w:pPr>
      <w:r w:rsidRPr="00BB7A6F">
        <w:rPr>
          <w:rFonts w:ascii="Times New Roman" w:hAnsi="Times New Roman" w:cs="Times New Roman"/>
          <w:i/>
          <w:sz w:val="16"/>
          <w:szCs w:val="16"/>
          <w:lang w:eastAsia="cs-CZ"/>
        </w:rPr>
        <w:t>Zdroj: výrobcovia plynu</w:t>
      </w:r>
    </w:p>
    <w:p w14:paraId="535C8E9E" w14:textId="3F1290FD" w:rsidR="00B27340" w:rsidRPr="00BB7A6F" w:rsidRDefault="00B8646A"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Trh s plynom na Slovensku je reálne otvorený od roku 2009, kedy svoju činnosť v oblasti dodávky zemného plynu priemyselným odberateľom začalo viacero spoločností. Od roku 2011 začali spoločnosti dodávať zemný plyn aj odberateľom plynu v domácnosti.</w:t>
      </w:r>
    </w:p>
    <w:p w14:paraId="21E2F0EC" w14:textId="51AAEC0D"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 xml:space="preserve">Najväčší podiel na slovenskom trhu so zemným plynom v dodávke koncovým odberateľom si udržala aj v roku 2019 spoločnosť </w:t>
      </w:r>
      <w:r w:rsidR="00B27340" w:rsidRPr="00BB7A6F">
        <w:rPr>
          <w:rFonts w:ascii="Times New Roman" w:hAnsi="Times New Roman" w:cs="Times New Roman"/>
          <w:sz w:val="24"/>
          <w:szCs w:val="24"/>
          <w:u w:val="single"/>
          <w:lang w:eastAsia="cs-CZ"/>
        </w:rPr>
        <w:t>Slovenský plynárenský priemysel</w:t>
      </w:r>
      <w:r w:rsidR="00B27340" w:rsidRPr="00BB7A6F">
        <w:rPr>
          <w:rFonts w:ascii="Times New Roman" w:hAnsi="Times New Roman" w:cs="Times New Roman"/>
          <w:sz w:val="24"/>
          <w:szCs w:val="24"/>
          <w:lang w:eastAsia="cs-CZ"/>
        </w:rPr>
        <w:t xml:space="preserve">, a.s. (SPP, a.s.), hodnota jej podielu na trhu 50,8%. Na trhu pôsobí aj niekoľko desiatok alternatívnych dodávateľov plynu, ďalšími spoločnosťami v dodávke plynu koncovým odberateľom podľa podielu na trhu sú </w:t>
      </w:r>
      <w:proofErr w:type="spellStart"/>
      <w:r w:rsidR="00B27340" w:rsidRPr="00BB7A6F">
        <w:rPr>
          <w:rFonts w:ascii="Times New Roman" w:hAnsi="Times New Roman" w:cs="Times New Roman"/>
          <w:sz w:val="24"/>
          <w:szCs w:val="24"/>
          <w:u w:val="single"/>
          <w:lang w:eastAsia="cs-CZ"/>
        </w:rPr>
        <w:t>innogy</w:t>
      </w:r>
      <w:proofErr w:type="spellEnd"/>
      <w:r w:rsidR="00B27340" w:rsidRPr="00BB7A6F">
        <w:rPr>
          <w:rFonts w:ascii="Times New Roman" w:hAnsi="Times New Roman" w:cs="Times New Roman"/>
          <w:sz w:val="24"/>
          <w:szCs w:val="24"/>
          <w:u w:val="single"/>
          <w:lang w:eastAsia="cs-CZ"/>
        </w:rPr>
        <w:t xml:space="preserve"> Slovensko</w:t>
      </w:r>
      <w:r w:rsidR="00B27340" w:rsidRPr="00BB7A6F">
        <w:rPr>
          <w:rFonts w:ascii="Times New Roman" w:hAnsi="Times New Roman" w:cs="Times New Roman"/>
          <w:sz w:val="24"/>
          <w:szCs w:val="24"/>
          <w:lang w:eastAsia="cs-CZ"/>
        </w:rPr>
        <w:t xml:space="preserve">, s.r.o.; </w:t>
      </w:r>
      <w:r w:rsidR="00B27340" w:rsidRPr="00BB7A6F">
        <w:rPr>
          <w:rFonts w:ascii="Times New Roman" w:hAnsi="Times New Roman" w:cs="Times New Roman"/>
          <w:sz w:val="24"/>
          <w:szCs w:val="24"/>
          <w:u w:val="single"/>
          <w:lang w:eastAsia="cs-CZ"/>
        </w:rPr>
        <w:t>MET Slovakia</w:t>
      </w:r>
      <w:r w:rsidR="00B27340" w:rsidRPr="00BB7A6F">
        <w:rPr>
          <w:rFonts w:ascii="Times New Roman" w:hAnsi="Times New Roman" w:cs="Times New Roman"/>
          <w:sz w:val="24"/>
          <w:szCs w:val="24"/>
          <w:lang w:eastAsia="cs-CZ"/>
        </w:rPr>
        <w:t xml:space="preserve">, a.s.; </w:t>
      </w:r>
      <w:r w:rsidR="00B27340" w:rsidRPr="00BB7A6F">
        <w:rPr>
          <w:rFonts w:ascii="Times New Roman" w:hAnsi="Times New Roman" w:cs="Times New Roman"/>
          <w:sz w:val="24"/>
          <w:szCs w:val="24"/>
          <w:u w:val="single"/>
          <w:lang w:eastAsia="cs-CZ"/>
        </w:rPr>
        <w:t>ELGAS</w:t>
      </w:r>
      <w:r w:rsidR="00B27340" w:rsidRPr="00BB7A6F">
        <w:rPr>
          <w:rFonts w:ascii="Times New Roman" w:hAnsi="Times New Roman" w:cs="Times New Roman"/>
          <w:sz w:val="24"/>
          <w:szCs w:val="24"/>
          <w:lang w:eastAsia="cs-CZ"/>
        </w:rPr>
        <w:t xml:space="preserve">, </w:t>
      </w:r>
      <w:proofErr w:type="spellStart"/>
      <w:r w:rsidR="00B27340" w:rsidRPr="00BB7A6F">
        <w:rPr>
          <w:rFonts w:ascii="Times New Roman" w:hAnsi="Times New Roman" w:cs="Times New Roman"/>
          <w:sz w:val="24"/>
          <w:szCs w:val="24"/>
          <w:lang w:eastAsia="cs-CZ"/>
        </w:rPr>
        <w:t>k.s</w:t>
      </w:r>
      <w:proofErr w:type="spellEnd"/>
      <w:r w:rsidR="00B27340" w:rsidRPr="00BB7A6F">
        <w:rPr>
          <w:rFonts w:ascii="Times New Roman" w:hAnsi="Times New Roman" w:cs="Times New Roman"/>
          <w:sz w:val="24"/>
          <w:szCs w:val="24"/>
          <w:lang w:eastAsia="cs-CZ"/>
        </w:rPr>
        <w:t>. a </w:t>
      </w:r>
      <w:r w:rsidR="00B27340" w:rsidRPr="00BB7A6F">
        <w:rPr>
          <w:rFonts w:ascii="Times New Roman" w:hAnsi="Times New Roman" w:cs="Times New Roman"/>
          <w:sz w:val="24"/>
          <w:szCs w:val="24"/>
          <w:u w:val="single"/>
          <w:lang w:eastAsia="cs-CZ"/>
        </w:rPr>
        <w:t>ZSE Energia</w:t>
      </w:r>
      <w:r w:rsidR="00B27340" w:rsidRPr="00BB7A6F">
        <w:rPr>
          <w:rFonts w:ascii="Times New Roman" w:hAnsi="Times New Roman" w:cs="Times New Roman"/>
          <w:sz w:val="24"/>
          <w:szCs w:val="24"/>
          <w:lang w:eastAsia="cs-CZ"/>
        </w:rPr>
        <w:t>, a.s.</w:t>
      </w:r>
    </w:p>
    <w:p w14:paraId="5957ADC6" w14:textId="47F28CDB" w:rsidR="00B27340" w:rsidRPr="00BB7A6F" w:rsidRDefault="00B8646A"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Pre najbližšie obdobie (3 až 5 rokov) sa očakáva skôr stagnácia spotreby plynu. Pre rôzne spoločnosti boli v zmysle energetickej legislatívy vydané osvedčenia na výstavbu energetických zariadení, prípadne podnikateľské subjekty zverejnili svoje zámery v tejto oblasti (nové zdroje na výrobu elektriny a tepla z plynu). Samotná realizácia investičných zámerov je však rozhodnutím jednotlivých spoločností, pričom rozhodovanie je ovplyvnené viacerými faktormi ako sú napr. trhová cena elektrickej energie, trhová cena plynu ako vstupnej komodity atď.</w:t>
      </w:r>
    </w:p>
    <w:p w14:paraId="3D2C9A44" w14:textId="73B6D411" w:rsidR="00B27340" w:rsidRPr="00BB7A6F" w:rsidRDefault="00B8646A"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Medzi ďalšími faktormi, ktoré budú vplývať na úroveň spotreby je možné uviesť priemernú ročnú teplotu ako aj pokračovanie realizácie rôznych opatrení súvisiacich s energetickou efektívnosťou napr. zatepľovania budov prípadne moderných technologických riešení pre budovy. V segmente domácností bude mať na úroveň spotreby vplyv vývoj ceny plynu ako aj dostupnosť alternatívnych palív. Pozitívnu úlohu v oblasti cien môže zohrať konkurencia jednotlivých dodávateľov plynu pôsobiacich na trhu.</w:t>
      </w:r>
    </w:p>
    <w:p w14:paraId="36ED321D" w14:textId="7936589C"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Vývoj v odvetví plynárenstva bude ovplyvnený aj najnovšou iniciatívou Európskej komisie, ktorej cieľom je zaistenie klimatickej neutrality EÚ do roku 2050. Túto iniciatívu – Európska zelená dohoda (</w:t>
      </w:r>
      <w:proofErr w:type="spellStart"/>
      <w:r w:rsidR="00B27340" w:rsidRPr="00BB7A6F">
        <w:rPr>
          <w:rFonts w:ascii="Times New Roman" w:hAnsi="Times New Roman" w:cs="Times New Roman"/>
          <w:sz w:val="24"/>
          <w:szCs w:val="24"/>
          <w:lang w:eastAsia="cs-CZ"/>
        </w:rPr>
        <w:t>European</w:t>
      </w:r>
      <w:proofErr w:type="spellEnd"/>
      <w:r w:rsidR="00B27340" w:rsidRPr="00BB7A6F">
        <w:rPr>
          <w:rFonts w:ascii="Times New Roman" w:hAnsi="Times New Roman" w:cs="Times New Roman"/>
          <w:sz w:val="24"/>
          <w:szCs w:val="24"/>
          <w:lang w:eastAsia="cs-CZ"/>
        </w:rPr>
        <w:t xml:space="preserve"> </w:t>
      </w:r>
      <w:proofErr w:type="spellStart"/>
      <w:r w:rsidR="00B27340" w:rsidRPr="00BB7A6F">
        <w:rPr>
          <w:rFonts w:ascii="Times New Roman" w:hAnsi="Times New Roman" w:cs="Times New Roman"/>
          <w:sz w:val="24"/>
          <w:szCs w:val="24"/>
          <w:lang w:eastAsia="cs-CZ"/>
        </w:rPr>
        <w:t>Green</w:t>
      </w:r>
      <w:proofErr w:type="spellEnd"/>
      <w:r w:rsidR="00B27340" w:rsidRPr="00BB7A6F">
        <w:rPr>
          <w:rFonts w:ascii="Times New Roman" w:hAnsi="Times New Roman" w:cs="Times New Roman"/>
          <w:sz w:val="24"/>
          <w:szCs w:val="24"/>
          <w:lang w:eastAsia="cs-CZ"/>
        </w:rPr>
        <w:t xml:space="preserve"> </w:t>
      </w:r>
      <w:proofErr w:type="spellStart"/>
      <w:r w:rsidR="00B27340" w:rsidRPr="00BB7A6F">
        <w:rPr>
          <w:rFonts w:ascii="Times New Roman" w:hAnsi="Times New Roman" w:cs="Times New Roman"/>
          <w:sz w:val="24"/>
          <w:szCs w:val="24"/>
          <w:lang w:eastAsia="cs-CZ"/>
        </w:rPr>
        <w:t>Deal</w:t>
      </w:r>
      <w:proofErr w:type="spellEnd"/>
      <w:r w:rsidR="00B27340" w:rsidRPr="00BB7A6F">
        <w:rPr>
          <w:rFonts w:ascii="Times New Roman" w:hAnsi="Times New Roman" w:cs="Times New Roman"/>
          <w:sz w:val="24"/>
          <w:szCs w:val="24"/>
          <w:lang w:eastAsia="cs-CZ"/>
        </w:rPr>
        <w:t>) – Európska komisia (ďalej len „EK“) oznámila 11. decembra 2019.</w:t>
      </w:r>
    </w:p>
    <w:p w14:paraId="072F401B" w14:textId="4651152C" w:rsidR="00B27340" w:rsidRPr="00BB7A6F" w:rsidRDefault="00B27340" w:rsidP="00B27340">
      <w:pPr>
        <w:spacing w:before="6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lastRenderedPageBreak/>
        <w:t>Predpoklad spotreby zemného plynu s výhľadom do roku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6"/>
        <w:gridCol w:w="1367"/>
        <w:gridCol w:w="1367"/>
        <w:gridCol w:w="1367"/>
        <w:gridCol w:w="1367"/>
        <w:gridCol w:w="1363"/>
      </w:tblGrid>
      <w:tr w:rsidR="00B27340" w:rsidRPr="00BB7A6F" w14:paraId="1DCD8BA1" w14:textId="77777777" w:rsidTr="00B27340">
        <w:tc>
          <w:tcPr>
            <w:tcW w:w="1507" w:type="pct"/>
            <w:shd w:val="clear" w:color="auto" w:fill="FFFFFF"/>
            <w:vAlign w:val="center"/>
          </w:tcPr>
          <w:p w14:paraId="34059800" w14:textId="77777777" w:rsidR="00B27340" w:rsidRPr="00BB7A6F" w:rsidRDefault="00B27340" w:rsidP="00B27340">
            <w:pPr>
              <w:spacing w:before="60" w:after="60" w:line="360" w:lineRule="atLeast"/>
              <w:jc w:val="center"/>
              <w:rPr>
                <w:rFonts w:ascii="Times New Roman" w:hAnsi="Times New Roman" w:cs="Times New Roman"/>
                <w:sz w:val="24"/>
                <w:szCs w:val="24"/>
                <w:lang w:eastAsia="de-DE"/>
              </w:rPr>
            </w:pPr>
            <w:r w:rsidRPr="00BB7A6F">
              <w:rPr>
                <w:rFonts w:ascii="Times New Roman" w:hAnsi="Times New Roman" w:cs="Times New Roman"/>
                <w:sz w:val="24"/>
                <w:szCs w:val="24"/>
                <w:lang w:eastAsia="de-DE"/>
              </w:rPr>
              <w:t>Rok</w:t>
            </w:r>
          </w:p>
        </w:tc>
        <w:tc>
          <w:tcPr>
            <w:tcW w:w="699" w:type="pct"/>
            <w:shd w:val="clear" w:color="auto" w:fill="FFFFFF"/>
            <w:vAlign w:val="center"/>
          </w:tcPr>
          <w:p w14:paraId="55A51309"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2020</w:t>
            </w:r>
          </w:p>
        </w:tc>
        <w:tc>
          <w:tcPr>
            <w:tcW w:w="699" w:type="pct"/>
            <w:shd w:val="clear" w:color="auto" w:fill="FFFFFF"/>
            <w:vAlign w:val="center"/>
          </w:tcPr>
          <w:p w14:paraId="38D834B5"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2021</w:t>
            </w:r>
          </w:p>
        </w:tc>
        <w:tc>
          <w:tcPr>
            <w:tcW w:w="699" w:type="pct"/>
            <w:shd w:val="clear" w:color="auto" w:fill="FFFFFF"/>
            <w:vAlign w:val="center"/>
          </w:tcPr>
          <w:p w14:paraId="596AE7EF"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2022</w:t>
            </w:r>
          </w:p>
        </w:tc>
        <w:tc>
          <w:tcPr>
            <w:tcW w:w="699" w:type="pct"/>
            <w:shd w:val="clear" w:color="auto" w:fill="FFFFFF"/>
          </w:tcPr>
          <w:p w14:paraId="7550900A"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2023</w:t>
            </w:r>
          </w:p>
        </w:tc>
        <w:tc>
          <w:tcPr>
            <w:tcW w:w="697" w:type="pct"/>
            <w:shd w:val="clear" w:color="auto" w:fill="FFFFFF"/>
          </w:tcPr>
          <w:p w14:paraId="2EB2D621"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2024</w:t>
            </w:r>
          </w:p>
        </w:tc>
      </w:tr>
      <w:tr w:rsidR="00B27340" w:rsidRPr="00BB7A6F" w14:paraId="276DF552" w14:textId="77777777" w:rsidTr="00B27340">
        <w:tc>
          <w:tcPr>
            <w:tcW w:w="1507" w:type="pct"/>
            <w:vAlign w:val="center"/>
          </w:tcPr>
          <w:p w14:paraId="71725895" w14:textId="77777777" w:rsidR="00B27340" w:rsidRPr="00BB7A6F" w:rsidRDefault="00B27340" w:rsidP="00B27340">
            <w:pPr>
              <w:spacing w:before="60" w:after="60" w:line="360" w:lineRule="atLeast"/>
              <w:jc w:val="center"/>
              <w:rPr>
                <w:rFonts w:ascii="Times New Roman" w:hAnsi="Times New Roman" w:cs="Times New Roman"/>
                <w:bCs/>
                <w:sz w:val="24"/>
                <w:lang w:eastAsia="de-DE"/>
              </w:rPr>
            </w:pPr>
            <w:r w:rsidRPr="00BB7A6F">
              <w:rPr>
                <w:rFonts w:ascii="Times New Roman" w:hAnsi="Times New Roman" w:cs="Times New Roman"/>
                <w:bCs/>
                <w:sz w:val="24"/>
                <w:lang w:eastAsia="de-DE"/>
              </w:rPr>
              <w:t xml:space="preserve">Celková spotreba </w:t>
            </w:r>
            <w:r w:rsidRPr="00BB7A6F">
              <w:rPr>
                <w:rFonts w:ascii="Times New Roman" w:hAnsi="Times New Roman" w:cs="Times New Roman"/>
                <w:sz w:val="23"/>
                <w:lang w:eastAsia="de-DE"/>
              </w:rPr>
              <w:t>[mld. m</w:t>
            </w:r>
            <w:r w:rsidRPr="00BB7A6F">
              <w:rPr>
                <w:rFonts w:ascii="Times New Roman" w:hAnsi="Times New Roman" w:cs="Times New Roman"/>
                <w:sz w:val="23"/>
                <w:vertAlign w:val="superscript"/>
                <w:lang w:eastAsia="de-DE"/>
              </w:rPr>
              <w:t>3</w:t>
            </w:r>
            <w:r w:rsidRPr="00BB7A6F">
              <w:rPr>
                <w:rFonts w:ascii="Times New Roman" w:hAnsi="Times New Roman" w:cs="Times New Roman"/>
                <w:sz w:val="23"/>
                <w:lang w:eastAsia="de-DE"/>
              </w:rPr>
              <w:t>]</w:t>
            </w:r>
          </w:p>
        </w:tc>
        <w:tc>
          <w:tcPr>
            <w:tcW w:w="699" w:type="pct"/>
            <w:vAlign w:val="center"/>
          </w:tcPr>
          <w:p w14:paraId="4ABD35B4"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4,7</w:t>
            </w:r>
          </w:p>
        </w:tc>
        <w:tc>
          <w:tcPr>
            <w:tcW w:w="699" w:type="pct"/>
            <w:vAlign w:val="center"/>
          </w:tcPr>
          <w:p w14:paraId="57C211AE"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4,8</w:t>
            </w:r>
          </w:p>
        </w:tc>
        <w:tc>
          <w:tcPr>
            <w:tcW w:w="699" w:type="pct"/>
            <w:vAlign w:val="center"/>
          </w:tcPr>
          <w:p w14:paraId="4B2D3181"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4,8</w:t>
            </w:r>
          </w:p>
        </w:tc>
        <w:tc>
          <w:tcPr>
            <w:tcW w:w="699" w:type="pct"/>
          </w:tcPr>
          <w:p w14:paraId="1FD0EDEB"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4,8</w:t>
            </w:r>
          </w:p>
        </w:tc>
        <w:tc>
          <w:tcPr>
            <w:tcW w:w="697" w:type="pct"/>
          </w:tcPr>
          <w:p w14:paraId="2D4411DC"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4,8</w:t>
            </w:r>
          </w:p>
        </w:tc>
      </w:tr>
    </w:tbl>
    <w:p w14:paraId="406920CF" w14:textId="77777777" w:rsidR="00B27340" w:rsidRPr="00BB7A6F" w:rsidRDefault="00B27340" w:rsidP="00B27340">
      <w:pPr>
        <w:spacing w:before="60"/>
        <w:jc w:val="both"/>
        <w:rPr>
          <w:rFonts w:ascii="Times New Roman" w:hAnsi="Times New Roman" w:cs="Times New Roman"/>
          <w:bCs/>
          <w:i/>
          <w:sz w:val="16"/>
          <w:szCs w:val="16"/>
          <w:lang w:eastAsia="cs-CZ"/>
        </w:rPr>
      </w:pPr>
      <w:r w:rsidRPr="00BB7A6F">
        <w:rPr>
          <w:rFonts w:ascii="Times New Roman" w:hAnsi="Times New Roman" w:cs="Times New Roman"/>
          <w:bCs/>
          <w:i/>
          <w:sz w:val="16"/>
          <w:szCs w:val="16"/>
          <w:lang w:eastAsia="cs-CZ"/>
        </w:rPr>
        <w:t>Zdroj: SPP – distribúcia, a.s.</w:t>
      </w:r>
    </w:p>
    <w:p w14:paraId="098513DD" w14:textId="2FA61BF7" w:rsidR="00B27340" w:rsidRPr="00BB7A6F" w:rsidRDefault="00B8646A" w:rsidP="00B27340">
      <w:pPr>
        <w:spacing w:before="60"/>
        <w:jc w:val="both"/>
        <w:rPr>
          <w:rFonts w:ascii="Times New Roman" w:hAnsi="Times New Roman" w:cs="Times New Roman"/>
          <w:b/>
          <w:bCs/>
          <w:sz w:val="24"/>
          <w:szCs w:val="24"/>
          <w:lang w:eastAsia="cs-CZ"/>
        </w:rPr>
      </w:pPr>
      <w:r>
        <w:rPr>
          <w:rFonts w:ascii="Times New Roman" w:hAnsi="Times New Roman" w:cs="Times New Roman"/>
          <w:b/>
          <w:bCs/>
          <w:sz w:val="24"/>
          <w:szCs w:val="24"/>
          <w:lang w:eastAsia="cs-CZ"/>
        </w:rPr>
        <w:br/>
      </w:r>
      <w:r w:rsidR="00B27340" w:rsidRPr="00BB7A6F">
        <w:rPr>
          <w:rFonts w:ascii="Times New Roman" w:hAnsi="Times New Roman" w:cs="Times New Roman"/>
          <w:b/>
          <w:bCs/>
          <w:sz w:val="24"/>
          <w:szCs w:val="24"/>
          <w:lang w:eastAsia="cs-CZ"/>
        </w:rPr>
        <w:t>3. Úloha orgánov štátnej správy</w:t>
      </w:r>
    </w:p>
    <w:p w14:paraId="2E7D1552"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Ministerstvo vykonáva štátnu správu v oblasti plynárenstva v rozsahu, ktorý je ustanovený zákonom o energetike. V súvislosti s bezpečnosťou dodávky plynu:</w:t>
      </w:r>
    </w:p>
    <w:p w14:paraId="0FA7C5D5" w14:textId="77777777" w:rsidR="00B27340" w:rsidRPr="00BB7A6F" w:rsidRDefault="00B27340" w:rsidP="005F0557">
      <w:pPr>
        <w:numPr>
          <w:ilvl w:val="0"/>
          <w:numId w:val="19"/>
        </w:numPr>
        <w:spacing w:after="0" w:line="240" w:lineRule="auto"/>
        <w:ind w:left="357" w:hanging="357"/>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zabezpečuje sledovanie dodržiavania bezpečnosti dodávky plynu,</w:t>
      </w:r>
    </w:p>
    <w:p w14:paraId="325D2418" w14:textId="77777777" w:rsidR="00B27340" w:rsidRPr="00BB7A6F" w:rsidRDefault="00B27340" w:rsidP="005F0557">
      <w:pPr>
        <w:numPr>
          <w:ilvl w:val="0"/>
          <w:numId w:val="19"/>
        </w:numPr>
        <w:spacing w:after="0" w:line="240" w:lineRule="auto"/>
        <w:ind w:left="357" w:hanging="357"/>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prijíma opatrenia zamerané na zabezpečenie bezpečnosti dodávok plynu,</w:t>
      </w:r>
    </w:p>
    <w:p w14:paraId="3A3E6A89" w14:textId="77777777" w:rsidR="00B27340" w:rsidRPr="00BB7A6F" w:rsidRDefault="00B27340" w:rsidP="005F0557">
      <w:pPr>
        <w:numPr>
          <w:ilvl w:val="0"/>
          <w:numId w:val="19"/>
        </w:numPr>
        <w:spacing w:after="0" w:line="240" w:lineRule="auto"/>
        <w:ind w:left="357" w:hanging="357"/>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určuje rozsah kritérií technickej bezpečnosti siete,</w:t>
      </w:r>
    </w:p>
    <w:p w14:paraId="0789DDFE" w14:textId="77777777" w:rsidR="00B27340" w:rsidRPr="00BB7A6F" w:rsidRDefault="00B27340" w:rsidP="005F0557">
      <w:pPr>
        <w:numPr>
          <w:ilvl w:val="0"/>
          <w:numId w:val="19"/>
        </w:numPr>
        <w:spacing w:after="0" w:line="240" w:lineRule="auto"/>
        <w:ind w:left="357" w:hanging="357"/>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určuje povinnosti vo všeobecnom hospodárskom záujme,</w:t>
      </w:r>
    </w:p>
    <w:p w14:paraId="4F16130B" w14:textId="77777777" w:rsidR="00B27340" w:rsidRPr="00BB7A6F" w:rsidRDefault="00B27340" w:rsidP="005F0557">
      <w:pPr>
        <w:numPr>
          <w:ilvl w:val="0"/>
          <w:numId w:val="19"/>
        </w:numPr>
        <w:spacing w:after="0" w:line="240" w:lineRule="auto"/>
        <w:ind w:left="357" w:hanging="357"/>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určuje povinnosti a rozhoduje o uplatnení povinností vo všeobecnom hospodárskom záujme,</w:t>
      </w:r>
    </w:p>
    <w:p w14:paraId="1CE56890" w14:textId="77777777" w:rsidR="00B27340" w:rsidRPr="00BB7A6F" w:rsidRDefault="00B27340" w:rsidP="005F0557">
      <w:pPr>
        <w:numPr>
          <w:ilvl w:val="0"/>
          <w:numId w:val="19"/>
        </w:numPr>
        <w:spacing w:after="0" w:line="240" w:lineRule="auto"/>
        <w:ind w:left="357" w:hanging="357"/>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rozhoduje o uplatnení opatrení, ktoré súvisia s ohrozením celistvosti a integrity siete alebo s ohrozením bezpečnosti a spoľahlivosti prevádzky siete.</w:t>
      </w:r>
    </w:p>
    <w:p w14:paraId="27E90E71" w14:textId="77777777" w:rsidR="00B27340" w:rsidRPr="00BB7A6F" w:rsidRDefault="00B27340" w:rsidP="00B27340">
      <w:pPr>
        <w:jc w:val="both"/>
        <w:rPr>
          <w:rFonts w:ascii="Times New Roman" w:hAnsi="Times New Roman" w:cs="Times New Roman"/>
          <w:sz w:val="24"/>
          <w:szCs w:val="24"/>
          <w:lang w:eastAsia="cs-CZ"/>
        </w:rPr>
      </w:pPr>
    </w:p>
    <w:p w14:paraId="32DBCC62" w14:textId="77777777" w:rsidR="00B27340" w:rsidRPr="00BB7A6F" w:rsidRDefault="00B27340" w:rsidP="00B27340">
      <w:pPr>
        <w:jc w:val="both"/>
        <w:rPr>
          <w:rFonts w:ascii="Times New Roman" w:hAnsi="Times New Roman" w:cs="Times New Roman"/>
          <w:sz w:val="24"/>
          <w:szCs w:val="28"/>
          <w:lang w:eastAsia="cs-CZ"/>
        </w:rPr>
      </w:pPr>
      <w:r w:rsidRPr="00BB7A6F">
        <w:rPr>
          <w:rFonts w:ascii="Times New Roman" w:hAnsi="Times New Roman" w:cs="Times New Roman"/>
          <w:sz w:val="24"/>
          <w:szCs w:val="28"/>
          <w:lang w:eastAsia="cs-CZ"/>
        </w:rPr>
        <w:t>Všeobecným hospodárskym záujmom v energetike sa na účely zákona o energetike rozumie aj zabezpečenie bezpečnosti siete vrátane zabezpečenia pravidelnosti, kvality a ceny dodávok plynu a energetickej efektívnosti.</w:t>
      </w:r>
    </w:p>
    <w:p w14:paraId="7230B6E5" w14:textId="7D45C8D4" w:rsidR="00B27340" w:rsidRPr="00BB7A6F" w:rsidRDefault="00F27DBD" w:rsidP="00B27340">
      <w:pPr>
        <w:jc w:val="both"/>
        <w:rPr>
          <w:rFonts w:ascii="Times New Roman" w:hAnsi="Times New Roman" w:cs="Times New Roman"/>
          <w:sz w:val="24"/>
          <w:szCs w:val="28"/>
          <w:lang w:eastAsia="cs-CZ"/>
        </w:rPr>
      </w:pPr>
      <w:r>
        <w:rPr>
          <w:rFonts w:ascii="Times New Roman" w:hAnsi="Times New Roman" w:cs="Times New Roman"/>
          <w:sz w:val="24"/>
          <w:szCs w:val="28"/>
          <w:lang w:eastAsia="cs-CZ"/>
        </w:rPr>
        <w:br/>
      </w:r>
      <w:r w:rsidR="00B27340" w:rsidRPr="00BB7A6F">
        <w:rPr>
          <w:rFonts w:ascii="Times New Roman" w:hAnsi="Times New Roman" w:cs="Times New Roman"/>
          <w:sz w:val="24"/>
          <w:szCs w:val="28"/>
          <w:lang w:eastAsia="cs-CZ"/>
        </w:rPr>
        <w:t>Všeobecný hospodársky záujem v energetike schvaľuje vláda Slovenskej republiky na návrh ministerstva. Ministerstvo môže vo všeobecnom hospodárskom záujme uložiť povinnosť prevádzkovateľovi siete, dodávateľovi plynu a prevádzkovateľovi zásobníka zabezpečiť aj bezpečnosť, pravidelnosť, kvalitu a cenu dodávky plynu. Takto uložené povinnosti musia byť jednoznačné, vykonateľné, kontrolovateľné, transparentné, nediskriminačné a musia zabezpečiť rovnosť prístupu pre plynárenské podniky v členských štátoch ku koncovým odberateľom na vymedzenom území.</w:t>
      </w:r>
    </w:p>
    <w:p w14:paraId="65D336C5" w14:textId="1D158D3D" w:rsidR="00B27340" w:rsidRPr="00BB7A6F" w:rsidRDefault="00F27DBD" w:rsidP="00B27340">
      <w:pPr>
        <w:jc w:val="both"/>
        <w:rPr>
          <w:rFonts w:ascii="Times New Roman" w:hAnsi="Times New Roman" w:cs="Times New Roman"/>
          <w:color w:val="000000"/>
          <w:sz w:val="24"/>
          <w:lang w:eastAsia="cs-CZ"/>
        </w:rPr>
      </w:pPr>
      <w:r>
        <w:rPr>
          <w:rFonts w:ascii="Times New Roman" w:hAnsi="Times New Roman" w:cs="Times New Roman"/>
          <w:color w:val="000000"/>
          <w:sz w:val="24"/>
          <w:lang w:eastAsia="cs-CZ"/>
        </w:rPr>
        <w:br/>
      </w:r>
      <w:r w:rsidR="00B27340" w:rsidRPr="00BB7A6F">
        <w:rPr>
          <w:rFonts w:ascii="Times New Roman" w:hAnsi="Times New Roman" w:cs="Times New Roman"/>
          <w:color w:val="000000"/>
          <w:sz w:val="24"/>
          <w:lang w:eastAsia="cs-CZ"/>
        </w:rPr>
        <w:t>Ministerstvo zároveň uverejňuje každoročne do 31. júla Správu o výsledkoch monitorovania bezpečnosti dodávok plynu, ktorá obsahuje aj informácie o všetkých prijatých a predpokladaných opatreniach na riešenie bezpečnosti dodávok plynu. Správu uverejňuje vo vestníku ministerstva a na webovom sídle ministerstva.</w:t>
      </w:r>
    </w:p>
    <w:p w14:paraId="721A1040" w14:textId="5ED8174E"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color w:val="000000"/>
          <w:sz w:val="24"/>
          <w:lang w:eastAsia="cs-CZ"/>
        </w:rPr>
        <w:br/>
      </w:r>
      <w:r w:rsidR="00B27340" w:rsidRPr="00BB7A6F">
        <w:rPr>
          <w:rFonts w:ascii="Times New Roman" w:hAnsi="Times New Roman" w:cs="Times New Roman"/>
          <w:color w:val="000000"/>
          <w:sz w:val="24"/>
          <w:lang w:eastAsia="cs-CZ"/>
        </w:rPr>
        <w:t xml:space="preserve">Ministerstvo stanovilo systém monitorovania a zbierania údajov pre zabezpečenie sledovania dodržiavania bezpečnosti dodávky plynu vyhláškou č. 193/2014. </w:t>
      </w:r>
      <w:r w:rsidR="00B27340" w:rsidRPr="00BB7A6F">
        <w:rPr>
          <w:rFonts w:ascii="Times New Roman" w:hAnsi="Times New Roman" w:cs="Times New Roman"/>
          <w:sz w:val="24"/>
          <w:szCs w:val="24"/>
          <w:lang w:eastAsia="cs-CZ"/>
        </w:rPr>
        <w:t xml:space="preserve">Prevádzkovatelia plynárenskej infraštruktúry (prepravná sieť, distribučné siete, zásobníky plynu), výrobcovia plynu ako aj dodávatelia plynu poskytujú ministerstvu podľa zákona o energetike a vyhlášky č. 193/2014 informácie o stave sietí, maximálnych </w:t>
      </w:r>
      <w:proofErr w:type="spellStart"/>
      <w:r w:rsidR="00B27340" w:rsidRPr="00BB7A6F">
        <w:rPr>
          <w:rFonts w:ascii="Times New Roman" w:hAnsi="Times New Roman" w:cs="Times New Roman"/>
          <w:sz w:val="24"/>
          <w:szCs w:val="24"/>
          <w:lang w:eastAsia="cs-CZ"/>
        </w:rPr>
        <w:t>vtlačných</w:t>
      </w:r>
      <w:proofErr w:type="spellEnd"/>
      <w:r w:rsidR="00B27340" w:rsidRPr="00BB7A6F">
        <w:rPr>
          <w:rFonts w:ascii="Times New Roman" w:hAnsi="Times New Roman" w:cs="Times New Roman"/>
          <w:sz w:val="24"/>
          <w:szCs w:val="24"/>
          <w:lang w:eastAsia="cs-CZ"/>
        </w:rPr>
        <w:t xml:space="preserve"> a ťažobných výkonoch zásobníka, stave zásob na začiatku </w:t>
      </w:r>
      <w:proofErr w:type="spellStart"/>
      <w:r w:rsidR="00B27340" w:rsidRPr="00BB7A6F">
        <w:rPr>
          <w:rFonts w:ascii="Times New Roman" w:hAnsi="Times New Roman" w:cs="Times New Roman"/>
          <w:sz w:val="24"/>
          <w:szCs w:val="24"/>
          <w:lang w:eastAsia="cs-CZ"/>
        </w:rPr>
        <w:t>vtlačnej</w:t>
      </w:r>
      <w:proofErr w:type="spellEnd"/>
      <w:r w:rsidR="00B27340" w:rsidRPr="00BB7A6F">
        <w:rPr>
          <w:rFonts w:ascii="Times New Roman" w:hAnsi="Times New Roman" w:cs="Times New Roman"/>
          <w:sz w:val="24"/>
          <w:szCs w:val="24"/>
          <w:lang w:eastAsia="cs-CZ"/>
        </w:rPr>
        <w:t xml:space="preserve"> sezóny resp. ťažobnej sezóny, o počte užívateľov zásobníka, výrobe plynu </w:t>
      </w:r>
      <w:r w:rsidR="00B27340" w:rsidRPr="00BB7A6F">
        <w:rPr>
          <w:rFonts w:ascii="Times New Roman" w:hAnsi="Times New Roman" w:cs="Times New Roman"/>
          <w:sz w:val="24"/>
          <w:szCs w:val="24"/>
          <w:lang w:eastAsia="cs-CZ"/>
        </w:rPr>
        <w:lastRenderedPageBreak/>
        <w:t>a dodávkach plynu, prepravenom a distribuovanom množstve plynu, počte pripojených koncových odberateľov plynu, počte odberateľov plynu v domácnosti, kvalite a úrovni údržby sietí a zariadení zásobníka, opatreniach na pokrytie špičkovej spotreby plynu a riešení výpadku v dodávkach plynu. Takisto informujú aj o neplánovanom znížení výroby, prepravy, distribúcie a dodávok plynu.</w:t>
      </w:r>
    </w:p>
    <w:p w14:paraId="303ACD52" w14:textId="2302E361" w:rsidR="00B27340" w:rsidRPr="00BB7A6F" w:rsidRDefault="00F27DBD" w:rsidP="00B27340">
      <w:pPr>
        <w:spacing w:before="60"/>
        <w:jc w:val="both"/>
        <w:rPr>
          <w:rFonts w:ascii="Times New Roman" w:hAnsi="Times New Roman" w:cs="Times New Roman"/>
          <w:b/>
          <w:bCs/>
          <w:sz w:val="24"/>
          <w:szCs w:val="24"/>
          <w:lang w:eastAsia="cs-CZ"/>
        </w:rPr>
      </w:pPr>
      <w:r>
        <w:rPr>
          <w:rFonts w:ascii="Times New Roman" w:hAnsi="Times New Roman" w:cs="Times New Roman"/>
          <w:b/>
          <w:bCs/>
          <w:sz w:val="24"/>
          <w:szCs w:val="24"/>
          <w:lang w:eastAsia="cs-CZ"/>
        </w:rPr>
        <w:br/>
      </w:r>
      <w:r w:rsidR="00B27340" w:rsidRPr="00BB7A6F">
        <w:rPr>
          <w:rFonts w:ascii="Times New Roman" w:hAnsi="Times New Roman" w:cs="Times New Roman"/>
          <w:b/>
          <w:bCs/>
          <w:sz w:val="24"/>
          <w:szCs w:val="24"/>
          <w:lang w:eastAsia="cs-CZ"/>
        </w:rPr>
        <w:t>4. Kvalita a úroveň údržby plynárenských sietí, predpokladaná ďalšia kapacita plynárenských sietí a zásobníkov</w:t>
      </w:r>
    </w:p>
    <w:p w14:paraId="68E2BF52" w14:textId="40D9C420"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 xml:space="preserve">Plynárenská sústava Slovenskej republiky je tvorená prepravnou sieťou, distribučnými sieťami a podzemnými zásobníkmi zemného plynu. Zásobníky zohrávajú významnú úlohu pri zabezpečovaní bezpečnosti dodávky plynu. Plynárenská sieť je vzájomne prepojená so sieťami susedných krajín – Ukrajinou, Českou republikou, Rakúskom a Maďarskom. V blízkosti slovensko-rakúskej hranice sa nachádza významný plynárenský hub </w:t>
      </w:r>
      <w:proofErr w:type="spellStart"/>
      <w:r w:rsidR="00B27340" w:rsidRPr="00BB7A6F">
        <w:rPr>
          <w:rFonts w:ascii="Times New Roman" w:hAnsi="Times New Roman" w:cs="Times New Roman"/>
          <w:sz w:val="24"/>
          <w:szCs w:val="24"/>
          <w:lang w:eastAsia="cs-CZ"/>
        </w:rPr>
        <w:t>Baumgarten</w:t>
      </w:r>
      <w:proofErr w:type="spellEnd"/>
      <w:r w:rsidR="00B27340" w:rsidRPr="00BB7A6F">
        <w:rPr>
          <w:rFonts w:ascii="Times New Roman" w:hAnsi="Times New Roman" w:cs="Times New Roman"/>
          <w:sz w:val="24"/>
          <w:szCs w:val="24"/>
          <w:lang w:eastAsia="cs-CZ"/>
        </w:rPr>
        <w:t>, ktorý je križovatkou prepravných sietí viacerých štátov, ktoré sú už v prevádzke (Rakúsko, Nemecko, Taliansko, Slovinsko a Maďarsko) a je aj predpokladaným konečným bodom plánovaných projektov prepravných plynovodov v rámci tzv. Južného koridoru.</w:t>
      </w:r>
    </w:p>
    <w:p w14:paraId="760140EB" w14:textId="12673980"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V prevádzke prepravnej siete neboli počas roka 2019 zaznamenané žiadne výpadky, ktoré by mali vplyv na dodávku zemného plynu pre odberateľov v Slovenskej republike alebo užívateľov siete, ktorí zemný plyn cez územie Slovenska prepravujú do ďalších krajín.</w:t>
      </w:r>
    </w:p>
    <w:p w14:paraId="73EFD7E5" w14:textId="128BAA8D" w:rsidR="00B27340" w:rsidRPr="00BB7A6F" w:rsidRDefault="00B8646A" w:rsidP="00B27340">
      <w:pPr>
        <w:jc w:val="both"/>
        <w:rPr>
          <w:rFonts w:ascii="Times New Roman" w:hAnsi="Times New Roman" w:cs="Times New Roman"/>
          <w:color w:val="000000" w:themeColor="text1"/>
          <w:sz w:val="24"/>
          <w:szCs w:val="24"/>
          <w:lang w:eastAsia="cs-CZ"/>
        </w:rPr>
      </w:pPr>
      <w:r>
        <w:rPr>
          <w:rFonts w:ascii="Times New Roman" w:hAnsi="Times New Roman" w:cs="Times New Roman"/>
          <w:color w:val="000000" w:themeColor="text1"/>
          <w:sz w:val="24"/>
          <w:szCs w:val="24"/>
          <w:lang w:eastAsia="cs-CZ"/>
        </w:rPr>
        <w:br/>
      </w:r>
      <w:r w:rsidR="00B27340" w:rsidRPr="00BB7A6F">
        <w:rPr>
          <w:rFonts w:ascii="Times New Roman" w:hAnsi="Times New Roman" w:cs="Times New Roman"/>
          <w:color w:val="000000" w:themeColor="text1"/>
          <w:sz w:val="24"/>
          <w:szCs w:val="24"/>
          <w:lang w:eastAsia="cs-CZ"/>
        </w:rPr>
        <w:t xml:space="preserve">V novembri 2008 bola podpísaná dlhodobá zmluva o preprave plynu medzi spoločnosťami </w:t>
      </w:r>
      <w:proofErr w:type="spellStart"/>
      <w:r w:rsidR="00B27340" w:rsidRPr="00BB7A6F">
        <w:rPr>
          <w:rFonts w:ascii="Times New Roman" w:hAnsi="Times New Roman" w:cs="Times New Roman"/>
          <w:color w:val="000000" w:themeColor="text1"/>
          <w:sz w:val="24"/>
          <w:szCs w:val="24"/>
          <w:lang w:eastAsia="cs-CZ"/>
        </w:rPr>
        <w:t>eustream</w:t>
      </w:r>
      <w:proofErr w:type="spellEnd"/>
      <w:r w:rsidR="00B27340" w:rsidRPr="00BB7A6F">
        <w:rPr>
          <w:rFonts w:ascii="Times New Roman" w:hAnsi="Times New Roman" w:cs="Times New Roman"/>
          <w:color w:val="000000" w:themeColor="text1"/>
          <w:sz w:val="24"/>
          <w:szCs w:val="24"/>
          <w:lang w:eastAsia="cs-CZ"/>
        </w:rPr>
        <w:t>, a.s. a </w:t>
      </w:r>
      <w:proofErr w:type="spellStart"/>
      <w:r w:rsidR="00B27340" w:rsidRPr="00BB7A6F">
        <w:rPr>
          <w:rFonts w:ascii="Times New Roman" w:hAnsi="Times New Roman" w:cs="Times New Roman"/>
          <w:color w:val="000000" w:themeColor="text1"/>
          <w:sz w:val="24"/>
          <w:szCs w:val="24"/>
          <w:lang w:eastAsia="cs-CZ"/>
        </w:rPr>
        <w:t>Gazprom</w:t>
      </w:r>
      <w:proofErr w:type="spellEnd"/>
      <w:r w:rsidR="00B27340" w:rsidRPr="00BB7A6F">
        <w:rPr>
          <w:rFonts w:ascii="Times New Roman" w:hAnsi="Times New Roman" w:cs="Times New Roman"/>
          <w:color w:val="000000" w:themeColor="text1"/>
          <w:sz w:val="24"/>
          <w:szCs w:val="24"/>
          <w:lang w:eastAsia="cs-CZ"/>
        </w:rPr>
        <w:t xml:space="preserve"> Export, ktorá je najvýznamnejšou zmluvou v oblasti prepravy plynu. Zmluva je platná od 1. januára 2009, doba platnosti je 20 rokov.</w:t>
      </w:r>
    </w:p>
    <w:p w14:paraId="01E4A14F" w14:textId="131A9235" w:rsidR="00B27340" w:rsidRPr="00BB7A6F" w:rsidRDefault="00B8646A"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 xml:space="preserve">S cieľom zabezpečiť integritu, spoľahlivosť, bezpečnosť a efektívne prevádzkovanie prepravnej siete v Slovenskej republike prevádzkovateľ prepravnej siete – spoločnosť </w:t>
      </w:r>
      <w:proofErr w:type="spellStart"/>
      <w:r w:rsidR="00B27340" w:rsidRPr="00BB7A6F">
        <w:rPr>
          <w:rFonts w:ascii="Times New Roman" w:hAnsi="Times New Roman" w:cs="Times New Roman"/>
          <w:sz w:val="24"/>
          <w:szCs w:val="24"/>
          <w:lang w:eastAsia="cs-CZ"/>
        </w:rPr>
        <w:t>eustream</w:t>
      </w:r>
      <w:proofErr w:type="spellEnd"/>
      <w:r w:rsidR="00B27340" w:rsidRPr="00BB7A6F">
        <w:rPr>
          <w:rFonts w:ascii="Times New Roman" w:hAnsi="Times New Roman" w:cs="Times New Roman"/>
          <w:sz w:val="24"/>
          <w:szCs w:val="24"/>
          <w:lang w:eastAsia="cs-CZ"/>
        </w:rPr>
        <w:t>, a.s. – vykonáva inšpekcie, preventívne opravy a údržbu plynárenských zariadení podľa stanovených kritérií. Údržba bola vykonávaná na základe výsledkov diagnostických prác na úrovni kompresorových staníc ako aj na líniovej časti siete v kvalite zodpovedajúcej európskym štandardom. Taktiež sa realizovalo odstraňovanie nedostatkov zistených vonkajšou a vnútornou inšpekciou plynovodov opravami alebo rekonštrukciami plynárenských zariadení. Prevádzkovateľ prepravnej siete plánuje realizovať opravné práce v rozsahu potrebnom pre bezproblémovú prevádzkyschopnosť prepravnej siete.</w:t>
      </w:r>
    </w:p>
    <w:p w14:paraId="7E323702" w14:textId="7D67AA75" w:rsidR="00B27340" w:rsidRPr="00BB7A6F" w:rsidRDefault="00B8646A"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K 1. januáru 2020 predstavuje prepravná sieť takmer 2 270 km plynovodov a 4 kompresorové stanice. Kapacita prepravnej siete je na úrovni vyše 90 mld. m</w:t>
      </w:r>
      <w:r w:rsidR="00B27340" w:rsidRPr="00BB7A6F">
        <w:rPr>
          <w:rFonts w:ascii="Times New Roman" w:hAnsi="Times New Roman" w:cs="Times New Roman"/>
          <w:sz w:val="24"/>
          <w:szCs w:val="24"/>
          <w:vertAlign w:val="superscript"/>
          <w:lang w:eastAsia="cs-CZ"/>
        </w:rPr>
        <w:t>3</w:t>
      </w:r>
      <w:r w:rsidR="00B27340" w:rsidRPr="00BB7A6F">
        <w:rPr>
          <w:rFonts w:ascii="Times New Roman" w:hAnsi="Times New Roman" w:cs="Times New Roman"/>
          <w:sz w:val="24"/>
          <w:szCs w:val="24"/>
          <w:lang w:eastAsia="cs-CZ"/>
        </w:rPr>
        <w:t xml:space="preserve"> ročne. Slovenská prepravná sieť je významnou súčasťou európskej plynárenskej siete a predstavuje spoľahlivú a bezpečnú prepravnú cestu, ktorou sa zemný plyn prepravuje do štátov strednej a západnej Európy. V prípade zvýšeného </w:t>
      </w:r>
      <w:r w:rsidR="00B27340" w:rsidRPr="00BB7A6F">
        <w:rPr>
          <w:rFonts w:ascii="Times New Roman" w:hAnsi="Times New Roman" w:cs="Times New Roman"/>
          <w:sz w:val="24"/>
          <w:szCs w:val="24"/>
          <w:lang w:eastAsia="cs-CZ"/>
        </w:rPr>
        <w:lastRenderedPageBreak/>
        <w:t>záujmu o prepravu je možné s relatívne nižšími nákladmi oproti novým projektom zvýšiť súčasnú kapacitu prepravnej siete.</w:t>
      </w:r>
    </w:p>
    <w:p w14:paraId="1AD0B624" w14:textId="2DE95845"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Nové prepojenie medzi prepravnými sieťami Slovenska a Maďarska, ktoré bolo vybudované po analýze situácie počas tzv. plynovej krízy zo začiatku roka 2009, bolo do komerčnej prevádzky uvedené dňa 1. júla 2015.</w:t>
      </w:r>
    </w:p>
    <w:p w14:paraId="0E7357E8" w14:textId="5B54FBB2"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Vzájomné prepojenia s Českou republikou a Rakúskom sú po úpravách technicky pripravené na zabezpečenie fyzického reverzného toku plynu.</w:t>
      </w:r>
    </w:p>
    <w:p w14:paraId="72E1AB5B" w14:textId="6648D02D"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 xml:space="preserve">V prípade projektu prepojenia prepravných sietí Slovenska a Poľska sa postupovalo v zmysle vzájomných dohôd prevádzkovateľov prepravných sietí </w:t>
      </w:r>
      <w:proofErr w:type="spellStart"/>
      <w:r w:rsidR="00B27340" w:rsidRPr="00BB7A6F">
        <w:rPr>
          <w:rFonts w:ascii="Times New Roman" w:hAnsi="Times New Roman" w:cs="Times New Roman"/>
          <w:sz w:val="24"/>
          <w:szCs w:val="24"/>
          <w:lang w:eastAsia="cs-CZ"/>
        </w:rPr>
        <w:t>eustream</w:t>
      </w:r>
      <w:proofErr w:type="spellEnd"/>
      <w:r w:rsidR="00B27340" w:rsidRPr="00BB7A6F">
        <w:rPr>
          <w:rFonts w:ascii="Times New Roman" w:hAnsi="Times New Roman" w:cs="Times New Roman"/>
          <w:sz w:val="24"/>
          <w:szCs w:val="24"/>
          <w:lang w:eastAsia="cs-CZ"/>
        </w:rPr>
        <w:t>, a.s. a GAZ-SYSTEM S.A.</w:t>
      </w:r>
      <w:r>
        <w:rPr>
          <w:rFonts w:ascii="Times New Roman" w:hAnsi="Times New Roman" w:cs="Times New Roman"/>
          <w:sz w:val="24"/>
          <w:szCs w:val="24"/>
          <w:lang w:eastAsia="cs-CZ"/>
        </w:rPr>
        <w:br/>
      </w:r>
    </w:p>
    <w:p w14:paraId="5677C5DB"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 xml:space="preserve">Delegovaným nariadením Komisie (EÚ) č. 1391/2013 zo 14. októbra 2013, ktorým sa mení nariadenie Európskeho parlamentu a Rady (EÚ) č. 347/2013 o usmerneniach pre </w:t>
      </w:r>
      <w:proofErr w:type="spellStart"/>
      <w:r w:rsidRPr="00BB7A6F">
        <w:rPr>
          <w:rFonts w:ascii="Times New Roman" w:hAnsi="Times New Roman" w:cs="Times New Roman"/>
          <w:sz w:val="24"/>
          <w:szCs w:val="24"/>
          <w:lang w:eastAsia="cs-CZ"/>
        </w:rPr>
        <w:t>transeurópsku</w:t>
      </w:r>
      <w:proofErr w:type="spellEnd"/>
      <w:r w:rsidRPr="00BB7A6F">
        <w:rPr>
          <w:rFonts w:ascii="Times New Roman" w:hAnsi="Times New Roman" w:cs="Times New Roman"/>
          <w:sz w:val="24"/>
          <w:szCs w:val="24"/>
          <w:lang w:eastAsia="cs-CZ"/>
        </w:rPr>
        <w:t xml:space="preserve"> energetickú infraštruktúru, pokiaľ ide zoznam projektov spoločného záujmu pre Úniu (tzv. PCI) bol schválený zoznam projektov. V rámci bodu 6 „Prioritný koridor Severojužné prepojenia plynovodov v stredovýchodnej a juhovýchodnej Európe (‚NSI plyn východ‘)“ bol zaradený aj projekt </w:t>
      </w:r>
      <w:proofErr w:type="spellStart"/>
      <w:r w:rsidRPr="00BB7A6F">
        <w:rPr>
          <w:rFonts w:ascii="Times New Roman" w:hAnsi="Times New Roman" w:cs="Times New Roman"/>
          <w:sz w:val="24"/>
          <w:szCs w:val="24"/>
          <w:lang w:eastAsia="cs-CZ"/>
        </w:rPr>
        <w:t>slovensko</w:t>
      </w:r>
      <w:proofErr w:type="spellEnd"/>
      <w:r w:rsidRPr="00BB7A6F">
        <w:rPr>
          <w:rFonts w:ascii="Times New Roman" w:hAnsi="Times New Roman" w:cs="Times New Roman"/>
          <w:sz w:val="24"/>
          <w:szCs w:val="24"/>
          <w:lang w:eastAsia="cs-CZ"/>
        </w:rPr>
        <w:t xml:space="preserve"> – poľského prepojenia. Projekt bol rovnako zaradený aj do tzv. druhého zoznamu PCI v zmysle delegovaného rozhodnutia Komisie (EÚ) 2016/89 z 18. novembra 2015, ktorým sa mení nariadenie Európskeho parlamentu a Rady (EÚ) č. 347/2013 (ďalej len „rozhodnutie Komisie 2016/89“). Status PCI získal projekt aj po tretíkrát, keď bol zaradený na zoznam projektov spoločného záujmu, ktorý bol vydaný delegovaným nariadením Komisie 2018/540 z 23. novembra 2017, ktorým sa mení nariadenie Európskeho parlamentu a Rady (EÚ) č. 347/2013.</w:t>
      </w:r>
    </w:p>
    <w:p w14:paraId="4BEE4FE1" w14:textId="77777777" w:rsidR="00B27340" w:rsidRPr="00BB7A6F" w:rsidRDefault="00B27340" w:rsidP="00B27340">
      <w:pPr>
        <w:jc w:val="both"/>
        <w:rPr>
          <w:rFonts w:ascii="Times New Roman" w:hAnsi="Times New Roman" w:cs="Times New Roman"/>
          <w:sz w:val="24"/>
          <w:szCs w:val="24"/>
          <w:lang w:eastAsia="cs-CZ"/>
        </w:rPr>
      </w:pPr>
    </w:p>
    <w:p w14:paraId="107B451B"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 xml:space="preserve">Dňa 22. novembra 2013 bola v Bratislave podpísaná Dohoda medzi vládou Slovenskej republiky a vládou Poľskej republiky o spolupráci pri realizácii projektu plynovodu spájajúceho poľskú prepravnú sieť a slovenskú prepravnú sieť. Pracovná skupina zriadená na základe tejto medzivládnej dohody (v ktorej sú zastúpené príslušné ministerstvá, regulačné úrady ako aj prevádzkovatelia) uskutočňuje rokovania v prípade potreby riešenia otázok súvisiacich s týmto projektom. Po finančnej podpore vo výške 4,6 mil. € na prípravu projektovej dokumentácie v roku 2015, získal projekt </w:t>
      </w:r>
      <w:proofErr w:type="spellStart"/>
      <w:r w:rsidRPr="00BB7A6F">
        <w:rPr>
          <w:rFonts w:ascii="Times New Roman" w:hAnsi="Times New Roman" w:cs="Times New Roman"/>
          <w:sz w:val="24"/>
          <w:szCs w:val="24"/>
          <w:lang w:eastAsia="cs-CZ"/>
        </w:rPr>
        <w:t>slovensko</w:t>
      </w:r>
      <w:proofErr w:type="spellEnd"/>
      <w:r w:rsidRPr="00BB7A6F">
        <w:rPr>
          <w:rFonts w:ascii="Times New Roman" w:hAnsi="Times New Roman" w:cs="Times New Roman"/>
          <w:sz w:val="24"/>
          <w:szCs w:val="24"/>
          <w:lang w:eastAsia="cs-CZ"/>
        </w:rPr>
        <w:t xml:space="preserve"> – poľského prepojenia na základe príslušnej žiadosti aj finančnú podporu na práce spojené s realizáciou plynovodu vo výške takmer 108 mil. €. Stalo sa tak na základe rozhodnutia vo februári 2017.</w:t>
      </w:r>
    </w:p>
    <w:p w14:paraId="5A978E4F" w14:textId="5C015AE7"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Výkonná agentúra EÚ pre inovácie a siete (INEA), GAZ-SYSTEM S.A. a </w:t>
      </w:r>
      <w:proofErr w:type="spellStart"/>
      <w:r w:rsidR="00B27340" w:rsidRPr="00BB7A6F">
        <w:rPr>
          <w:rFonts w:ascii="Times New Roman" w:hAnsi="Times New Roman" w:cs="Times New Roman"/>
          <w:sz w:val="24"/>
          <w:szCs w:val="24"/>
          <w:lang w:eastAsia="cs-CZ"/>
        </w:rPr>
        <w:t>eustream</w:t>
      </w:r>
      <w:proofErr w:type="spellEnd"/>
      <w:r w:rsidR="00B27340" w:rsidRPr="00BB7A6F">
        <w:rPr>
          <w:rFonts w:ascii="Times New Roman" w:hAnsi="Times New Roman" w:cs="Times New Roman"/>
          <w:sz w:val="24"/>
          <w:szCs w:val="24"/>
          <w:lang w:eastAsia="cs-CZ"/>
        </w:rPr>
        <w:t xml:space="preserve">, a.s. podpísali dňa 18. decembra 2017 grantovú dohodu na stavebné práce pre Prepojovací plynovod Poľsko – Slovensko. Grantová dohoda umožní poľskému aj slovenskému prevádzkovateľovi prepravnej siete </w:t>
      </w:r>
      <w:r w:rsidR="00B27340" w:rsidRPr="00BB7A6F">
        <w:rPr>
          <w:rFonts w:ascii="Times New Roman" w:hAnsi="Times New Roman" w:cs="Times New Roman"/>
          <w:sz w:val="24"/>
          <w:szCs w:val="24"/>
          <w:lang w:eastAsia="cs-CZ"/>
        </w:rPr>
        <w:lastRenderedPageBreak/>
        <w:t>získať finančnú podporu z Európskej únie z prostriedkov Nástroja na prepájanie Európy (</w:t>
      </w:r>
      <w:proofErr w:type="spellStart"/>
      <w:r w:rsidR="00B27340" w:rsidRPr="00BB7A6F">
        <w:rPr>
          <w:rFonts w:ascii="Times New Roman" w:hAnsi="Times New Roman" w:cs="Times New Roman"/>
          <w:sz w:val="24"/>
          <w:szCs w:val="24"/>
          <w:lang w:eastAsia="cs-CZ"/>
        </w:rPr>
        <w:t>Connecting</w:t>
      </w:r>
      <w:proofErr w:type="spellEnd"/>
      <w:r w:rsidR="00B27340" w:rsidRPr="00BB7A6F">
        <w:rPr>
          <w:rFonts w:ascii="Times New Roman" w:hAnsi="Times New Roman" w:cs="Times New Roman"/>
          <w:sz w:val="24"/>
          <w:szCs w:val="24"/>
          <w:lang w:eastAsia="cs-CZ"/>
        </w:rPr>
        <w:t xml:space="preserve"> </w:t>
      </w:r>
      <w:proofErr w:type="spellStart"/>
      <w:r w:rsidR="00B27340" w:rsidRPr="00BB7A6F">
        <w:rPr>
          <w:rFonts w:ascii="Times New Roman" w:hAnsi="Times New Roman" w:cs="Times New Roman"/>
          <w:sz w:val="24"/>
          <w:szCs w:val="24"/>
          <w:lang w:eastAsia="cs-CZ"/>
        </w:rPr>
        <w:t>Europe</w:t>
      </w:r>
      <w:proofErr w:type="spellEnd"/>
      <w:r w:rsidR="00B27340" w:rsidRPr="00BB7A6F">
        <w:rPr>
          <w:rFonts w:ascii="Times New Roman" w:hAnsi="Times New Roman" w:cs="Times New Roman"/>
          <w:sz w:val="24"/>
          <w:szCs w:val="24"/>
          <w:lang w:eastAsia="cs-CZ"/>
        </w:rPr>
        <w:t xml:space="preserve"> </w:t>
      </w:r>
      <w:proofErr w:type="spellStart"/>
      <w:r w:rsidR="00B27340" w:rsidRPr="00BB7A6F">
        <w:rPr>
          <w:rFonts w:ascii="Times New Roman" w:hAnsi="Times New Roman" w:cs="Times New Roman"/>
          <w:sz w:val="24"/>
          <w:szCs w:val="24"/>
          <w:lang w:eastAsia="cs-CZ"/>
        </w:rPr>
        <w:t>Facility</w:t>
      </w:r>
      <w:proofErr w:type="spellEnd"/>
      <w:r w:rsidR="00B27340" w:rsidRPr="00BB7A6F">
        <w:rPr>
          <w:rFonts w:ascii="Times New Roman" w:hAnsi="Times New Roman" w:cs="Times New Roman"/>
          <w:sz w:val="24"/>
          <w:szCs w:val="24"/>
          <w:lang w:eastAsia="cs-CZ"/>
        </w:rPr>
        <w:t xml:space="preserve"> (CEF) v celkovej výške 107,7 mil. €.</w:t>
      </w:r>
    </w:p>
    <w:p w14:paraId="1874BB1D" w14:textId="712CBAA6"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 xml:space="preserve">Dňa 30. apríla 2018 </w:t>
      </w:r>
      <w:proofErr w:type="spellStart"/>
      <w:r w:rsidR="00B27340" w:rsidRPr="00BB7A6F">
        <w:rPr>
          <w:rFonts w:ascii="Times New Roman" w:hAnsi="Times New Roman" w:cs="Times New Roman"/>
          <w:sz w:val="24"/>
          <w:szCs w:val="24"/>
          <w:lang w:eastAsia="cs-CZ"/>
        </w:rPr>
        <w:t>eustream</w:t>
      </w:r>
      <w:proofErr w:type="spellEnd"/>
      <w:r w:rsidR="00B27340" w:rsidRPr="00BB7A6F">
        <w:rPr>
          <w:rFonts w:ascii="Times New Roman" w:hAnsi="Times New Roman" w:cs="Times New Roman"/>
          <w:sz w:val="24"/>
          <w:szCs w:val="24"/>
          <w:lang w:eastAsia="cs-CZ"/>
        </w:rPr>
        <w:t>, a.s. a GAZ-SYSTEM S.A. podpísali prepojovaciu dohodu o realizácii Prepojovacieho plynovodu Poľsko – Slovensko, projektu spoločného záujmu. Na základe tejto dohody obaja prevádzkovatelia prepravnej siete zemného plynu prijali pozitívne finálne investičné rozhodnutie o tomto projekte.</w:t>
      </w:r>
    </w:p>
    <w:p w14:paraId="5E0A52C8" w14:textId="4FDEAD29"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V júni 2018 bolo pre projekt vydané stavebné povolenie príslušným stavebným úradom.</w:t>
      </w:r>
    </w:p>
    <w:p w14:paraId="79DD0A85" w14:textId="2CA5D6C3"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 xml:space="preserve">18. septembra 2018 sa v priestoroch kompresorovej stanice Veľké Kapušany uskutočnil slávnostný začiatok výstavby symbolickým podpisom predsedu vlády Slovenskej republiky, ministra hospodárstva, splnomocnenca vlády Poľskej republiky pre strategickú energetickú infraštruktúru, predsedu predstavenstva spoločnosti GAZ-SYSTEM, generálneho riaditeľa spoločnosti </w:t>
      </w:r>
      <w:proofErr w:type="spellStart"/>
      <w:r w:rsidR="00B27340" w:rsidRPr="00BB7A6F">
        <w:rPr>
          <w:rFonts w:ascii="Times New Roman" w:hAnsi="Times New Roman" w:cs="Times New Roman"/>
          <w:sz w:val="24"/>
          <w:szCs w:val="24"/>
          <w:lang w:eastAsia="cs-CZ"/>
        </w:rPr>
        <w:t>eustream</w:t>
      </w:r>
      <w:proofErr w:type="spellEnd"/>
      <w:r w:rsidR="00B27340" w:rsidRPr="00BB7A6F">
        <w:rPr>
          <w:rFonts w:ascii="Times New Roman" w:hAnsi="Times New Roman" w:cs="Times New Roman"/>
          <w:sz w:val="24"/>
          <w:szCs w:val="24"/>
          <w:lang w:eastAsia="cs-CZ"/>
        </w:rPr>
        <w:t xml:space="preserve"> ako aj zástupcu INEA. Predpokladané uvedenie plynovodu do prevádzky je v roku 2021.</w:t>
      </w:r>
    </w:p>
    <w:p w14:paraId="2FE97685" w14:textId="77777777" w:rsidR="00B27340" w:rsidRPr="00BB7A6F" w:rsidRDefault="00B27340" w:rsidP="00B27340">
      <w:pPr>
        <w:jc w:val="both"/>
        <w:rPr>
          <w:rFonts w:ascii="Times New Roman" w:hAnsi="Times New Roman" w:cs="Times New Roman"/>
          <w:sz w:val="24"/>
          <w:szCs w:val="24"/>
          <w:lang w:eastAsia="cs-CZ"/>
        </w:rPr>
      </w:pPr>
    </w:p>
    <w:p w14:paraId="2A749CDE"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 xml:space="preserve">Memorandum o porozumení, ktoré bolo podpísané dňa 28. apríla 2014 medzi spoločnosťami </w:t>
      </w:r>
      <w:proofErr w:type="spellStart"/>
      <w:r w:rsidRPr="00BB7A6F">
        <w:rPr>
          <w:rFonts w:ascii="Times New Roman" w:hAnsi="Times New Roman" w:cs="Times New Roman"/>
          <w:sz w:val="24"/>
          <w:szCs w:val="24"/>
          <w:lang w:eastAsia="cs-CZ"/>
        </w:rPr>
        <w:t>Ukrtransgaz</w:t>
      </w:r>
      <w:proofErr w:type="spellEnd"/>
      <w:r w:rsidRPr="00BB7A6F">
        <w:rPr>
          <w:rFonts w:ascii="Times New Roman" w:hAnsi="Times New Roman" w:cs="Times New Roman"/>
          <w:sz w:val="24"/>
          <w:szCs w:val="24"/>
          <w:lang w:eastAsia="cs-CZ"/>
        </w:rPr>
        <w:t xml:space="preserve"> a </w:t>
      </w:r>
      <w:proofErr w:type="spellStart"/>
      <w:r w:rsidRPr="00BB7A6F">
        <w:rPr>
          <w:rFonts w:ascii="Times New Roman" w:hAnsi="Times New Roman" w:cs="Times New Roman"/>
          <w:sz w:val="24"/>
          <w:szCs w:val="24"/>
          <w:lang w:eastAsia="cs-CZ"/>
        </w:rPr>
        <w:t>eustream</w:t>
      </w:r>
      <w:proofErr w:type="spellEnd"/>
      <w:r w:rsidRPr="00BB7A6F">
        <w:rPr>
          <w:rFonts w:ascii="Times New Roman" w:hAnsi="Times New Roman" w:cs="Times New Roman"/>
          <w:sz w:val="24"/>
          <w:szCs w:val="24"/>
          <w:lang w:eastAsia="cs-CZ"/>
        </w:rPr>
        <w:t xml:space="preserve"> sa týkalo sprevádzkovania plynovodu, ktorý by umožnil reverznú dodávku plynu na Ukrajinu. Realizované riešenie spočívalo v rýchlom sprevádzkovaní nevyužívaného plynovodu Vojany – Užhorod (hraničný bod Budince; tzv. malý reverz). Do komerčnej prevádzky bol spustený 2. septembra 2014 za účasti premiérov Slovenska a Ukrajiny ako aj vysokého predstaviteľa Európskej komisie. Toto riešenie je optimálne z pohľadu bezpečnosti dodávok plynu pre SR ako aj EÚ a tiež aj z hľadiska technického, právneho, časového a plnej kompatibility s legislatívnym rámcom EÚ.</w:t>
      </w:r>
    </w:p>
    <w:p w14:paraId="1FD33FD7" w14:textId="31096118"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Plynovod dokáže zabezpečiť prepravnú kapacitu na úrovni až 40 mil. m</w:t>
      </w:r>
      <w:r w:rsidR="00B27340" w:rsidRPr="00BB7A6F">
        <w:rPr>
          <w:rFonts w:ascii="Times New Roman" w:hAnsi="Times New Roman" w:cs="Times New Roman"/>
          <w:sz w:val="24"/>
          <w:szCs w:val="24"/>
          <w:vertAlign w:val="superscript"/>
          <w:lang w:eastAsia="cs-CZ"/>
        </w:rPr>
        <w:t>3</w:t>
      </w:r>
      <w:r w:rsidR="00B27340" w:rsidRPr="00BB7A6F">
        <w:rPr>
          <w:rFonts w:ascii="Times New Roman" w:hAnsi="Times New Roman" w:cs="Times New Roman"/>
          <w:sz w:val="24"/>
          <w:szCs w:val="24"/>
          <w:lang w:eastAsia="cs-CZ"/>
        </w:rPr>
        <w:t xml:space="preserve"> denne (z toho 27 mil. m</w:t>
      </w:r>
      <w:r w:rsidR="00B27340" w:rsidRPr="00BB7A6F">
        <w:rPr>
          <w:rFonts w:ascii="Times New Roman" w:hAnsi="Times New Roman" w:cs="Times New Roman"/>
          <w:sz w:val="24"/>
          <w:szCs w:val="24"/>
          <w:vertAlign w:val="superscript"/>
          <w:lang w:eastAsia="cs-CZ"/>
        </w:rPr>
        <w:t>3</w:t>
      </w:r>
      <w:r w:rsidR="00B27340" w:rsidRPr="00BB7A6F">
        <w:rPr>
          <w:rFonts w:ascii="Times New Roman" w:hAnsi="Times New Roman" w:cs="Times New Roman"/>
          <w:sz w:val="24"/>
          <w:szCs w:val="24"/>
          <w:lang w:eastAsia="cs-CZ"/>
        </w:rPr>
        <w:t xml:space="preserve"> je poskytovaných na pevnej báze), pričom v ročnom vyjadrení ide o možnosť prepraviť na Ukrajinu až 14,6 mld. m</w:t>
      </w:r>
      <w:r w:rsidR="00B27340" w:rsidRPr="00BB7A6F">
        <w:rPr>
          <w:rFonts w:ascii="Times New Roman" w:hAnsi="Times New Roman" w:cs="Times New Roman"/>
          <w:sz w:val="24"/>
          <w:szCs w:val="24"/>
          <w:vertAlign w:val="superscript"/>
          <w:lang w:eastAsia="cs-CZ"/>
        </w:rPr>
        <w:t>3</w:t>
      </w:r>
      <w:r w:rsidR="00B27340" w:rsidRPr="00BB7A6F">
        <w:rPr>
          <w:rFonts w:ascii="Times New Roman" w:hAnsi="Times New Roman" w:cs="Times New Roman"/>
          <w:sz w:val="24"/>
          <w:szCs w:val="24"/>
          <w:lang w:eastAsia="cs-CZ"/>
        </w:rPr>
        <w:t xml:space="preserve"> zemného plynu.</w:t>
      </w:r>
    </w:p>
    <w:p w14:paraId="1B81BB9A" w14:textId="6F051527"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 xml:space="preserve">Od 1. apríla 2016 sa hraničný bod Budince stal obojsmerným bodom, so vstupnou kapacitou do prepravnej siete </w:t>
      </w:r>
      <w:proofErr w:type="spellStart"/>
      <w:r w:rsidR="00B27340" w:rsidRPr="00BB7A6F">
        <w:rPr>
          <w:rFonts w:ascii="Times New Roman" w:hAnsi="Times New Roman" w:cs="Times New Roman"/>
          <w:sz w:val="24"/>
          <w:szCs w:val="24"/>
          <w:lang w:eastAsia="cs-CZ"/>
        </w:rPr>
        <w:t>eustreamu</w:t>
      </w:r>
      <w:proofErr w:type="spellEnd"/>
      <w:r w:rsidR="00B27340" w:rsidRPr="00BB7A6F">
        <w:rPr>
          <w:rFonts w:ascii="Times New Roman" w:hAnsi="Times New Roman" w:cs="Times New Roman"/>
          <w:sz w:val="24"/>
          <w:szCs w:val="24"/>
          <w:lang w:eastAsia="cs-CZ"/>
        </w:rPr>
        <w:t xml:space="preserve"> smerom z Ukrajiny, pričom maximálna pevná vstupná prepravná kapacita je 17 mil. m</w:t>
      </w:r>
      <w:r w:rsidR="00B27340" w:rsidRPr="00BB7A6F">
        <w:rPr>
          <w:rFonts w:ascii="Times New Roman" w:hAnsi="Times New Roman" w:cs="Times New Roman"/>
          <w:sz w:val="24"/>
          <w:szCs w:val="24"/>
          <w:vertAlign w:val="superscript"/>
          <w:lang w:eastAsia="cs-CZ"/>
        </w:rPr>
        <w:t>3</w:t>
      </w:r>
      <w:r w:rsidR="00B27340" w:rsidRPr="00BB7A6F">
        <w:rPr>
          <w:rFonts w:ascii="Times New Roman" w:hAnsi="Times New Roman" w:cs="Times New Roman"/>
          <w:sz w:val="24"/>
          <w:szCs w:val="24"/>
          <w:lang w:eastAsia="cs-CZ"/>
        </w:rPr>
        <w:t xml:space="preserve">/deň. Ukrajinský prepravca </w:t>
      </w:r>
      <w:proofErr w:type="spellStart"/>
      <w:r w:rsidR="00B27340" w:rsidRPr="00BB7A6F">
        <w:rPr>
          <w:rFonts w:ascii="Times New Roman" w:hAnsi="Times New Roman" w:cs="Times New Roman"/>
          <w:sz w:val="24"/>
          <w:szCs w:val="24"/>
          <w:lang w:eastAsia="cs-CZ"/>
        </w:rPr>
        <w:t>Ukrtransgaz</w:t>
      </w:r>
      <w:proofErr w:type="spellEnd"/>
      <w:r w:rsidR="00B27340" w:rsidRPr="00BB7A6F">
        <w:rPr>
          <w:rFonts w:ascii="Times New Roman" w:hAnsi="Times New Roman" w:cs="Times New Roman"/>
          <w:sz w:val="24"/>
          <w:szCs w:val="24"/>
          <w:lang w:eastAsia="cs-CZ"/>
        </w:rPr>
        <w:t xml:space="preserve"> očakáva, že vďaka spusteniu obojsmernej prevádzky sa zvýši záujem o využívanie podzemných zásobníkov plynu na Ukrajine.</w:t>
      </w:r>
    </w:p>
    <w:p w14:paraId="2CF2AF00" w14:textId="04BD58D2"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Z hľadiska energetickej bezpečnosti zostáva pre Slovenskú republiku absolútnou prioritou zachovanie prepravného koridoru cez Ukrajinu. Považujeme to za kľúčové pre zaistenie energetickej bezpečnosti nielen stredoeurópskeho regiónu, ale aj pre ekonomický rozvoj, politickú stabilitu a bezpečnosť na Ukrajine, čo patrí medzi priority EÚ. V tejto súvislosti pozitívne vnímame vyjadrenia z Nemecka o zabezpečení úlohy Ukrajiny ako tranzitnej krajiny pre ruský plyn.</w:t>
      </w:r>
    </w:p>
    <w:p w14:paraId="5C81B4A6" w14:textId="05F67670"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lastRenderedPageBreak/>
        <w:br/>
      </w:r>
      <w:r w:rsidR="00B27340" w:rsidRPr="00BB7A6F">
        <w:rPr>
          <w:rFonts w:ascii="Times New Roman" w:hAnsi="Times New Roman" w:cs="Times New Roman"/>
          <w:sz w:val="24"/>
          <w:szCs w:val="24"/>
          <w:lang w:eastAsia="cs-CZ"/>
        </w:rPr>
        <w:t>EK v júli 2018 iniciovala rokovania na najvyššej politickej úrovni medzi EK, UA a RU s cieľom nájsť riešenie pre prepravu plynu cez územie Ukrajiny po roku 2019. Po mnohých kolách rokovaní na expertnej ako aj najvyššej politickej úrovni sa v závere roka 2019 podarilo dosiahnuť dohodu o tranzite plynu cez Ukrajinu na najbližších 5 rokov t.j. do roku 2024.</w:t>
      </w:r>
    </w:p>
    <w:p w14:paraId="43172C5A" w14:textId="5B2A66FA" w:rsidR="00B27340" w:rsidRPr="00BB7A6F" w:rsidRDefault="00F27DBD" w:rsidP="00B27340">
      <w:pPr>
        <w:tabs>
          <w:tab w:val="left" w:pos="720"/>
        </w:tabs>
        <w:jc w:val="both"/>
        <w:rPr>
          <w:rFonts w:ascii="Times New Roman" w:hAnsi="Times New Roman" w:cs="Times New Roman"/>
          <w:bCs/>
          <w:sz w:val="24"/>
          <w:szCs w:val="24"/>
          <w:lang w:eastAsia="cs-CZ"/>
        </w:rPr>
      </w:pPr>
      <w:r>
        <w:rPr>
          <w:rFonts w:ascii="Times New Roman" w:hAnsi="Times New Roman" w:cs="Times New Roman"/>
          <w:sz w:val="24"/>
          <w:szCs w:val="24"/>
          <w:lang w:eastAsia="cs-CZ"/>
        </w:rPr>
        <w:br/>
      </w:r>
      <w:proofErr w:type="spellStart"/>
      <w:r w:rsidR="00B27340" w:rsidRPr="00BB7A6F">
        <w:rPr>
          <w:rFonts w:ascii="Times New Roman" w:hAnsi="Times New Roman" w:cs="Times New Roman"/>
          <w:sz w:val="24"/>
          <w:szCs w:val="24"/>
          <w:lang w:eastAsia="cs-CZ"/>
        </w:rPr>
        <w:t>Eustream</w:t>
      </w:r>
      <w:proofErr w:type="spellEnd"/>
      <w:r w:rsidR="00B27340" w:rsidRPr="00BB7A6F">
        <w:rPr>
          <w:rFonts w:ascii="Times New Roman" w:hAnsi="Times New Roman" w:cs="Times New Roman"/>
          <w:sz w:val="24"/>
          <w:szCs w:val="24"/>
          <w:lang w:eastAsia="cs-CZ"/>
        </w:rPr>
        <w:t xml:space="preserve">, a.s. predstavil v závere roka 2014 koncept plynovodu </w:t>
      </w:r>
      <w:proofErr w:type="spellStart"/>
      <w:r w:rsidR="00B27340" w:rsidRPr="00BB7A6F">
        <w:rPr>
          <w:rFonts w:ascii="Times New Roman" w:hAnsi="Times New Roman" w:cs="Times New Roman"/>
          <w:sz w:val="24"/>
          <w:szCs w:val="24"/>
          <w:lang w:eastAsia="cs-CZ"/>
        </w:rPr>
        <w:t>Eastring</w:t>
      </w:r>
      <w:proofErr w:type="spellEnd"/>
      <w:r w:rsidR="00B27340" w:rsidRPr="00BB7A6F">
        <w:rPr>
          <w:rFonts w:ascii="Times New Roman" w:hAnsi="Times New Roman" w:cs="Times New Roman"/>
          <w:sz w:val="24"/>
          <w:szCs w:val="24"/>
          <w:lang w:eastAsia="cs-CZ"/>
        </w:rPr>
        <w:t xml:space="preserve">. </w:t>
      </w:r>
      <w:r w:rsidR="00B27340" w:rsidRPr="00BB7A6F">
        <w:rPr>
          <w:rFonts w:ascii="Times New Roman" w:hAnsi="Times New Roman" w:cs="Times New Roman"/>
          <w:sz w:val="24"/>
          <w:szCs w:val="24"/>
        </w:rPr>
        <w:t xml:space="preserve">Realizácia projektu </w:t>
      </w:r>
      <w:proofErr w:type="spellStart"/>
      <w:r w:rsidR="00B27340" w:rsidRPr="00BB7A6F">
        <w:rPr>
          <w:rFonts w:ascii="Times New Roman" w:hAnsi="Times New Roman" w:cs="Times New Roman"/>
          <w:sz w:val="24"/>
          <w:szCs w:val="24"/>
        </w:rPr>
        <w:t>Eastring</w:t>
      </w:r>
      <w:proofErr w:type="spellEnd"/>
      <w:r w:rsidR="00B27340" w:rsidRPr="00BB7A6F">
        <w:rPr>
          <w:rFonts w:ascii="Times New Roman" w:hAnsi="Times New Roman" w:cs="Times New Roman"/>
          <w:sz w:val="24"/>
          <w:szCs w:val="24"/>
        </w:rPr>
        <w:t xml:space="preserve"> v zmysle predstaveného konceptu prepojenia západoeurópskych trhov s krajinami predovšetkým juhovýchodnej Európy je riešením pre dosiahnutie strategického cieľa zachovať či dokonca zvýšiť objemy prepraveného plynu cez slovenskú prepravnú sieť.</w:t>
      </w:r>
      <w:r w:rsidR="00B27340" w:rsidRPr="00BB7A6F">
        <w:rPr>
          <w:rFonts w:ascii="Times New Roman" w:hAnsi="Times New Roman" w:cs="Times New Roman"/>
          <w:bCs/>
          <w:sz w:val="24"/>
          <w:szCs w:val="24"/>
          <w:lang w:eastAsia="cs-CZ"/>
        </w:rPr>
        <w:t xml:space="preserve"> Realizácia projektu plynovodu </w:t>
      </w:r>
      <w:proofErr w:type="spellStart"/>
      <w:r w:rsidR="00B27340" w:rsidRPr="00BB7A6F">
        <w:rPr>
          <w:rFonts w:ascii="Times New Roman" w:hAnsi="Times New Roman" w:cs="Times New Roman"/>
          <w:bCs/>
          <w:sz w:val="24"/>
          <w:szCs w:val="24"/>
          <w:lang w:eastAsia="cs-CZ"/>
        </w:rPr>
        <w:t>Eastring</w:t>
      </w:r>
      <w:proofErr w:type="spellEnd"/>
      <w:r w:rsidR="00B27340" w:rsidRPr="00BB7A6F">
        <w:rPr>
          <w:rFonts w:ascii="Times New Roman" w:hAnsi="Times New Roman" w:cs="Times New Roman"/>
          <w:bCs/>
          <w:sz w:val="24"/>
          <w:szCs w:val="24"/>
          <w:lang w:eastAsia="cs-CZ"/>
        </w:rPr>
        <w:t xml:space="preserve"> by do značnej miery prispela k zvýšeniu významu úlohy Slovenska ako križovatky pre plynárenské prepojenia a jeho schopnosť zaistiť prepravu plynu reverzným tokom celému regiónu. Projekt, ktorý je navrhnutý ako obojsmerný je preto možné považovať za cestu pre nových potenciálnych dodávateľov predovšetkým z Kaspického regiónu resp. potenciálneho tzv. tureckého plynového hubu na európske trhy a zvýšenie úrovne bezpečnosti dodávok plynu najmä z hľadiska diverzifikácie zdrojov.</w:t>
      </w:r>
    </w:p>
    <w:p w14:paraId="799CDE02" w14:textId="5D399ADA" w:rsidR="00B27340" w:rsidRPr="00BB7A6F" w:rsidRDefault="00F27DBD" w:rsidP="00B27340">
      <w:pPr>
        <w:tabs>
          <w:tab w:val="left" w:pos="720"/>
        </w:tabs>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 xml:space="preserve">Rozhodnutím Komisie 2016/89 bol projekt plynovodu </w:t>
      </w:r>
      <w:proofErr w:type="spellStart"/>
      <w:r w:rsidR="00B27340" w:rsidRPr="00BB7A6F">
        <w:rPr>
          <w:rFonts w:ascii="Times New Roman" w:hAnsi="Times New Roman" w:cs="Times New Roman"/>
          <w:sz w:val="24"/>
          <w:szCs w:val="24"/>
          <w:lang w:eastAsia="cs-CZ"/>
        </w:rPr>
        <w:t>Eastring</w:t>
      </w:r>
      <w:proofErr w:type="spellEnd"/>
      <w:r w:rsidR="00B27340" w:rsidRPr="00BB7A6F">
        <w:rPr>
          <w:rFonts w:ascii="Times New Roman" w:hAnsi="Times New Roman" w:cs="Times New Roman"/>
          <w:sz w:val="24"/>
          <w:szCs w:val="24"/>
          <w:lang w:eastAsia="cs-CZ"/>
        </w:rPr>
        <w:t xml:space="preserve"> zaradený do zoznamu projektov spoločného záujmu v rámci bodu 6.25 „Infraštruktúra na prepravu nového plynu do strednej a juhovýchodnej Európy s cieľom diverzifikácie“. Vo februári 2017 bol projekt podporený sumou 1 mil. € na vypracovanie štúdie realizovateľnosti.</w:t>
      </w:r>
    </w:p>
    <w:p w14:paraId="535B08DE" w14:textId="73A35D27"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 xml:space="preserve">Výkonná agentúra EÚ pre inovácie a siete a spoločnosť </w:t>
      </w:r>
      <w:proofErr w:type="spellStart"/>
      <w:r w:rsidR="00B27340" w:rsidRPr="00BB7A6F">
        <w:rPr>
          <w:rFonts w:ascii="Times New Roman" w:hAnsi="Times New Roman" w:cs="Times New Roman"/>
          <w:sz w:val="24"/>
          <w:szCs w:val="24"/>
          <w:lang w:eastAsia="cs-CZ"/>
        </w:rPr>
        <w:t>eustream</w:t>
      </w:r>
      <w:proofErr w:type="spellEnd"/>
      <w:r w:rsidR="00B27340" w:rsidRPr="00BB7A6F">
        <w:rPr>
          <w:rFonts w:ascii="Times New Roman" w:hAnsi="Times New Roman" w:cs="Times New Roman"/>
          <w:sz w:val="24"/>
          <w:szCs w:val="24"/>
          <w:lang w:eastAsia="cs-CZ"/>
        </w:rPr>
        <w:t xml:space="preserve">, a.s. podpísali v máji 2017 grantovú dohodu, na základe ktorej môže </w:t>
      </w:r>
      <w:proofErr w:type="spellStart"/>
      <w:r w:rsidR="00B27340" w:rsidRPr="00BB7A6F">
        <w:rPr>
          <w:rFonts w:ascii="Times New Roman" w:hAnsi="Times New Roman" w:cs="Times New Roman"/>
          <w:sz w:val="24"/>
          <w:szCs w:val="24"/>
          <w:lang w:eastAsia="cs-CZ"/>
        </w:rPr>
        <w:t>eustream</w:t>
      </w:r>
      <w:proofErr w:type="spellEnd"/>
      <w:r w:rsidR="00B27340" w:rsidRPr="00BB7A6F">
        <w:rPr>
          <w:rFonts w:ascii="Times New Roman" w:hAnsi="Times New Roman" w:cs="Times New Roman"/>
          <w:sz w:val="24"/>
          <w:szCs w:val="24"/>
          <w:lang w:eastAsia="cs-CZ"/>
        </w:rPr>
        <w:t xml:space="preserve"> čerpať dotáciu na štúdiu uskutočniteľnosti plánovaného paneurópskeho plynovodu </w:t>
      </w:r>
      <w:proofErr w:type="spellStart"/>
      <w:r w:rsidR="00B27340" w:rsidRPr="00BB7A6F">
        <w:rPr>
          <w:rFonts w:ascii="Times New Roman" w:hAnsi="Times New Roman" w:cs="Times New Roman"/>
          <w:sz w:val="24"/>
          <w:szCs w:val="24"/>
          <w:lang w:eastAsia="cs-CZ"/>
        </w:rPr>
        <w:t>Eastring</w:t>
      </w:r>
      <w:proofErr w:type="spellEnd"/>
      <w:r w:rsidR="00B27340" w:rsidRPr="00BB7A6F">
        <w:rPr>
          <w:rFonts w:ascii="Times New Roman" w:hAnsi="Times New Roman" w:cs="Times New Roman"/>
          <w:sz w:val="24"/>
          <w:szCs w:val="24"/>
          <w:lang w:eastAsia="cs-CZ"/>
        </w:rPr>
        <w:t>. Na základe tejto zmluvy Európska únia podporí štúdiu až do výšky 50 % jej oprávnených nákladov (maximálne do 1 milióna €) z prostriedkov CEF.</w:t>
      </w:r>
    </w:p>
    <w:p w14:paraId="72795DCC" w14:textId="6A344E0E"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proofErr w:type="spellStart"/>
      <w:r w:rsidR="00B27340" w:rsidRPr="00BB7A6F">
        <w:rPr>
          <w:rFonts w:ascii="Times New Roman" w:hAnsi="Times New Roman" w:cs="Times New Roman"/>
          <w:sz w:val="24"/>
          <w:szCs w:val="24"/>
          <w:lang w:eastAsia="cs-CZ"/>
        </w:rPr>
        <w:t>Eustream</w:t>
      </w:r>
      <w:proofErr w:type="spellEnd"/>
      <w:r w:rsidR="00B27340" w:rsidRPr="00BB7A6F">
        <w:rPr>
          <w:rFonts w:ascii="Times New Roman" w:hAnsi="Times New Roman" w:cs="Times New Roman"/>
          <w:sz w:val="24"/>
          <w:szCs w:val="24"/>
          <w:lang w:eastAsia="cs-CZ"/>
        </w:rPr>
        <w:t xml:space="preserve">, a.s. v auguste 2017 podpísal zmluvu o vypracovaní štúdie uskutočniteľnosti pre plánovaný plynovod </w:t>
      </w:r>
      <w:proofErr w:type="spellStart"/>
      <w:r w:rsidR="00B27340" w:rsidRPr="00BB7A6F">
        <w:rPr>
          <w:rFonts w:ascii="Times New Roman" w:hAnsi="Times New Roman" w:cs="Times New Roman"/>
          <w:sz w:val="24"/>
          <w:szCs w:val="24"/>
          <w:lang w:eastAsia="cs-CZ"/>
        </w:rPr>
        <w:t>Eastring</w:t>
      </w:r>
      <w:proofErr w:type="spellEnd"/>
      <w:r w:rsidR="00B27340" w:rsidRPr="00BB7A6F">
        <w:rPr>
          <w:rFonts w:ascii="Times New Roman" w:hAnsi="Times New Roman" w:cs="Times New Roman"/>
          <w:sz w:val="24"/>
          <w:szCs w:val="24"/>
          <w:lang w:eastAsia="cs-CZ"/>
        </w:rPr>
        <w:t xml:space="preserve"> spájajúci krajiny strednej a juhovýchodnej Európy s maďarskou konzultačnou a projekčnou spoločnosťou </w:t>
      </w:r>
      <w:proofErr w:type="spellStart"/>
      <w:r w:rsidR="00B27340" w:rsidRPr="00BB7A6F">
        <w:rPr>
          <w:rFonts w:ascii="Times New Roman" w:hAnsi="Times New Roman" w:cs="Times New Roman"/>
          <w:sz w:val="24"/>
          <w:szCs w:val="24"/>
          <w:lang w:eastAsia="cs-CZ"/>
        </w:rPr>
        <w:t>Euroil</w:t>
      </w:r>
      <w:proofErr w:type="spellEnd"/>
      <w:r w:rsidR="00B27340" w:rsidRPr="00BB7A6F">
        <w:rPr>
          <w:rFonts w:ascii="Times New Roman" w:hAnsi="Times New Roman" w:cs="Times New Roman"/>
          <w:sz w:val="24"/>
          <w:szCs w:val="24"/>
          <w:lang w:eastAsia="cs-CZ"/>
        </w:rPr>
        <w:t>. Cieľom štúdie uskutočniteľnosti bolo definovať potrebné technické, ekonomické, finančné a environmentálne aspekty budúceho plynovodu, vrátane jeho optimálneho trasovania a tiež uskutočniť rozsiahly prieskum trhu.</w:t>
      </w:r>
    </w:p>
    <w:p w14:paraId="4B336FC8" w14:textId="58846570"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Projekt bol zaradený aj na tzv. tretí zoznam projektov spoločného záujmu, ktorý bol vydaný delegovaným nariadením 2018/540.</w:t>
      </w:r>
    </w:p>
    <w:p w14:paraId="2D6845B2" w14:textId="454A9008"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 xml:space="preserve">20. septembra 2018 sa v Bratislave uskutočnila za účasti podpredsedu EK M. </w:t>
      </w:r>
      <w:proofErr w:type="spellStart"/>
      <w:r w:rsidR="00B27340" w:rsidRPr="00BB7A6F">
        <w:rPr>
          <w:rFonts w:ascii="Times New Roman" w:hAnsi="Times New Roman" w:cs="Times New Roman"/>
          <w:sz w:val="24"/>
          <w:szCs w:val="24"/>
          <w:lang w:eastAsia="cs-CZ"/>
        </w:rPr>
        <w:t>Šefčoviča</w:t>
      </w:r>
      <w:proofErr w:type="spellEnd"/>
      <w:r w:rsidR="00B27340" w:rsidRPr="00BB7A6F">
        <w:rPr>
          <w:rFonts w:ascii="Times New Roman" w:hAnsi="Times New Roman" w:cs="Times New Roman"/>
          <w:sz w:val="24"/>
          <w:szCs w:val="24"/>
          <w:lang w:eastAsia="cs-CZ"/>
        </w:rPr>
        <w:t xml:space="preserve"> prezentácia výsledkov štúdie uskutočniteľnosti. Ako výsledok štúdie bola navrhnutá nová trasa plynovodu v celkovej dĺžke 1208 km medzi Veľkými Zlievcami (hranica SK/HU) a </w:t>
      </w:r>
      <w:proofErr w:type="spellStart"/>
      <w:r w:rsidR="00B27340" w:rsidRPr="00BB7A6F">
        <w:rPr>
          <w:rFonts w:ascii="Times New Roman" w:hAnsi="Times New Roman" w:cs="Times New Roman"/>
          <w:sz w:val="24"/>
          <w:szCs w:val="24"/>
          <w:lang w:eastAsia="cs-CZ"/>
        </w:rPr>
        <w:t>Malkoçlarom</w:t>
      </w:r>
      <w:proofErr w:type="spellEnd"/>
      <w:r w:rsidR="00B27340" w:rsidRPr="00BB7A6F">
        <w:rPr>
          <w:rFonts w:ascii="Times New Roman" w:hAnsi="Times New Roman" w:cs="Times New Roman"/>
          <w:sz w:val="24"/>
          <w:szCs w:val="24"/>
          <w:lang w:eastAsia="cs-CZ"/>
        </w:rPr>
        <w:t xml:space="preserve"> (hranica BG/TR).</w:t>
      </w:r>
    </w:p>
    <w:p w14:paraId="6E581946" w14:textId="018645BD"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lastRenderedPageBreak/>
        <w:br/>
      </w:r>
      <w:r w:rsidR="00B27340" w:rsidRPr="00BB7A6F">
        <w:rPr>
          <w:rFonts w:ascii="Times New Roman" w:hAnsi="Times New Roman" w:cs="Times New Roman"/>
          <w:sz w:val="24"/>
          <w:szCs w:val="24"/>
          <w:lang w:eastAsia="cs-CZ"/>
        </w:rPr>
        <w:t>Dňa 4. októbra 2019 sa v Bruseli uskutočnilo rokovanie Rozhodovacieho výboru na vysokej úrovni (</w:t>
      </w:r>
      <w:proofErr w:type="spellStart"/>
      <w:r w:rsidR="00B27340" w:rsidRPr="00BB7A6F">
        <w:rPr>
          <w:rFonts w:ascii="Times New Roman" w:hAnsi="Times New Roman" w:cs="Times New Roman"/>
          <w:sz w:val="24"/>
          <w:szCs w:val="24"/>
          <w:lang w:eastAsia="cs-CZ"/>
        </w:rPr>
        <w:t>High</w:t>
      </w:r>
      <w:proofErr w:type="spellEnd"/>
      <w:r w:rsidR="00B27340" w:rsidRPr="00BB7A6F">
        <w:rPr>
          <w:rFonts w:ascii="Times New Roman" w:hAnsi="Times New Roman" w:cs="Times New Roman"/>
          <w:sz w:val="24"/>
          <w:szCs w:val="24"/>
          <w:lang w:eastAsia="cs-CZ"/>
        </w:rPr>
        <w:t xml:space="preserve"> </w:t>
      </w:r>
      <w:proofErr w:type="spellStart"/>
      <w:r w:rsidR="00B27340" w:rsidRPr="00BB7A6F">
        <w:rPr>
          <w:rFonts w:ascii="Times New Roman" w:hAnsi="Times New Roman" w:cs="Times New Roman"/>
          <w:sz w:val="24"/>
          <w:szCs w:val="24"/>
          <w:lang w:eastAsia="cs-CZ"/>
        </w:rPr>
        <w:t>Level</w:t>
      </w:r>
      <w:proofErr w:type="spellEnd"/>
      <w:r w:rsidR="00B27340" w:rsidRPr="00BB7A6F">
        <w:rPr>
          <w:rFonts w:ascii="Times New Roman" w:hAnsi="Times New Roman" w:cs="Times New Roman"/>
          <w:sz w:val="24"/>
          <w:szCs w:val="24"/>
          <w:lang w:eastAsia="cs-CZ"/>
        </w:rPr>
        <w:t xml:space="preserve"> </w:t>
      </w:r>
      <w:proofErr w:type="spellStart"/>
      <w:r w:rsidR="00B27340" w:rsidRPr="00BB7A6F">
        <w:rPr>
          <w:rFonts w:ascii="Times New Roman" w:hAnsi="Times New Roman" w:cs="Times New Roman"/>
          <w:sz w:val="24"/>
          <w:szCs w:val="24"/>
          <w:lang w:eastAsia="cs-CZ"/>
        </w:rPr>
        <w:t>Decision</w:t>
      </w:r>
      <w:proofErr w:type="spellEnd"/>
      <w:r w:rsidR="00B27340" w:rsidRPr="00BB7A6F">
        <w:rPr>
          <w:rFonts w:ascii="Times New Roman" w:hAnsi="Times New Roman" w:cs="Times New Roman"/>
          <w:sz w:val="24"/>
          <w:szCs w:val="24"/>
          <w:lang w:eastAsia="cs-CZ"/>
        </w:rPr>
        <w:t xml:space="preserve"> </w:t>
      </w:r>
      <w:proofErr w:type="spellStart"/>
      <w:r w:rsidR="00B27340" w:rsidRPr="00BB7A6F">
        <w:rPr>
          <w:rFonts w:ascii="Times New Roman" w:hAnsi="Times New Roman" w:cs="Times New Roman"/>
          <w:sz w:val="24"/>
          <w:szCs w:val="24"/>
          <w:lang w:eastAsia="cs-CZ"/>
        </w:rPr>
        <w:t>Making</w:t>
      </w:r>
      <w:proofErr w:type="spellEnd"/>
      <w:r w:rsidR="00B27340" w:rsidRPr="00BB7A6F">
        <w:rPr>
          <w:rFonts w:ascii="Times New Roman" w:hAnsi="Times New Roman" w:cs="Times New Roman"/>
          <w:sz w:val="24"/>
          <w:szCs w:val="24"/>
          <w:lang w:eastAsia="cs-CZ"/>
        </w:rPr>
        <w:t xml:space="preserve"> Body). Cieľom rokovania bolo konsenzom dosiahnuť dohodu o obsahu 4. zoznamu PCI. V rámci rokovania k plynárenským projektom vo východnej Európe prebehla diskusia k projektom CZ – PL (STORK II), CZ – AT (BACI), </w:t>
      </w:r>
      <w:proofErr w:type="spellStart"/>
      <w:r w:rsidR="00B27340" w:rsidRPr="00BB7A6F">
        <w:rPr>
          <w:rFonts w:ascii="Times New Roman" w:hAnsi="Times New Roman" w:cs="Times New Roman"/>
          <w:sz w:val="24"/>
          <w:szCs w:val="24"/>
          <w:lang w:eastAsia="cs-CZ"/>
        </w:rPr>
        <w:t>Eastring</w:t>
      </w:r>
      <w:proofErr w:type="spellEnd"/>
      <w:r w:rsidR="00B27340" w:rsidRPr="00BB7A6F">
        <w:rPr>
          <w:rFonts w:ascii="Times New Roman" w:hAnsi="Times New Roman" w:cs="Times New Roman"/>
          <w:sz w:val="24"/>
          <w:szCs w:val="24"/>
          <w:lang w:eastAsia="cs-CZ"/>
        </w:rPr>
        <w:t xml:space="preserve"> a LNG terminálu v </w:t>
      </w:r>
      <w:proofErr w:type="spellStart"/>
      <w:r w:rsidR="00B27340" w:rsidRPr="00BB7A6F">
        <w:rPr>
          <w:rFonts w:ascii="Times New Roman" w:hAnsi="Times New Roman" w:cs="Times New Roman"/>
          <w:sz w:val="24"/>
          <w:szCs w:val="24"/>
          <w:lang w:eastAsia="cs-CZ"/>
        </w:rPr>
        <w:t>Gdaňsku</w:t>
      </w:r>
      <w:proofErr w:type="spellEnd"/>
      <w:r w:rsidR="00B27340" w:rsidRPr="00BB7A6F">
        <w:rPr>
          <w:rFonts w:ascii="Times New Roman" w:hAnsi="Times New Roman" w:cs="Times New Roman"/>
          <w:sz w:val="24"/>
          <w:szCs w:val="24"/>
          <w:lang w:eastAsia="cs-CZ"/>
        </w:rPr>
        <w:t xml:space="preserve">. Európska komisia navrhla ponechať projekty STORK II, BACI a </w:t>
      </w:r>
      <w:proofErr w:type="spellStart"/>
      <w:r w:rsidR="00B27340" w:rsidRPr="00BB7A6F">
        <w:rPr>
          <w:rFonts w:ascii="Times New Roman" w:hAnsi="Times New Roman" w:cs="Times New Roman"/>
          <w:sz w:val="24"/>
          <w:szCs w:val="24"/>
          <w:lang w:eastAsia="cs-CZ"/>
        </w:rPr>
        <w:t>Eastring</w:t>
      </w:r>
      <w:proofErr w:type="spellEnd"/>
      <w:r w:rsidR="00B27340" w:rsidRPr="00BB7A6F">
        <w:rPr>
          <w:rFonts w:ascii="Times New Roman" w:hAnsi="Times New Roman" w:cs="Times New Roman"/>
          <w:sz w:val="24"/>
          <w:szCs w:val="24"/>
          <w:lang w:eastAsia="cs-CZ"/>
        </w:rPr>
        <w:t xml:space="preserve"> mimo zoznamu PCI a zaradiť ako jediný dodatočný projekt na zoznam PCI LNG terminál v </w:t>
      </w:r>
      <w:proofErr w:type="spellStart"/>
      <w:r w:rsidR="00B27340" w:rsidRPr="00BB7A6F">
        <w:rPr>
          <w:rFonts w:ascii="Times New Roman" w:hAnsi="Times New Roman" w:cs="Times New Roman"/>
          <w:sz w:val="24"/>
          <w:szCs w:val="24"/>
          <w:lang w:eastAsia="cs-CZ"/>
        </w:rPr>
        <w:t>Gdaňsku</w:t>
      </w:r>
      <w:proofErr w:type="spellEnd"/>
      <w:r w:rsidR="00B27340" w:rsidRPr="00BB7A6F">
        <w:rPr>
          <w:rFonts w:ascii="Times New Roman" w:hAnsi="Times New Roman" w:cs="Times New Roman"/>
          <w:sz w:val="24"/>
          <w:szCs w:val="24"/>
          <w:lang w:eastAsia="cs-CZ"/>
        </w:rPr>
        <w:t xml:space="preserve">. Pri projekte BACI zdôraznila, že existuje paralelná infraštruktúra a je potrebné pokračovať v hľadaní riešenia pre integráciu trhov, aj v nadväznosti na pilotný projekt TRU. Pri projekte </w:t>
      </w:r>
      <w:proofErr w:type="spellStart"/>
      <w:r w:rsidR="00B27340" w:rsidRPr="00BB7A6F">
        <w:rPr>
          <w:rFonts w:ascii="Times New Roman" w:hAnsi="Times New Roman" w:cs="Times New Roman"/>
          <w:sz w:val="24"/>
          <w:szCs w:val="24"/>
          <w:lang w:eastAsia="cs-CZ"/>
        </w:rPr>
        <w:t>Eastring</w:t>
      </w:r>
      <w:proofErr w:type="spellEnd"/>
      <w:r w:rsidR="00B27340" w:rsidRPr="00BB7A6F">
        <w:rPr>
          <w:rFonts w:ascii="Times New Roman" w:hAnsi="Times New Roman" w:cs="Times New Roman"/>
          <w:sz w:val="24"/>
          <w:szCs w:val="24"/>
          <w:lang w:eastAsia="cs-CZ"/>
        </w:rPr>
        <w:t xml:space="preserve"> EK deklarovala pripravenosť na budúci dialóg o prínosoch projektu. Projekty nezaradené na 4. zoznam majú samozrejme možnosť sa uchádzať o zaradenie do ďalšieho zoznamu PCI.</w:t>
      </w:r>
    </w:p>
    <w:p w14:paraId="3FC2F1BA" w14:textId="2A25A70C"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Slovenskou prepravnou sieťou bolo v roku 2019 prepravených celkovo 69,1 mld. m</w:t>
      </w:r>
      <w:r w:rsidR="00B27340" w:rsidRPr="00BB7A6F">
        <w:rPr>
          <w:rFonts w:ascii="Times New Roman" w:hAnsi="Times New Roman" w:cs="Times New Roman"/>
          <w:sz w:val="24"/>
          <w:szCs w:val="24"/>
          <w:vertAlign w:val="superscript"/>
          <w:lang w:eastAsia="cs-CZ"/>
        </w:rPr>
        <w:t>3</w:t>
      </w:r>
      <w:r w:rsidR="00B27340" w:rsidRPr="00BB7A6F">
        <w:rPr>
          <w:rFonts w:ascii="Times New Roman" w:hAnsi="Times New Roman" w:cs="Times New Roman"/>
          <w:sz w:val="24"/>
          <w:szCs w:val="24"/>
          <w:lang w:eastAsia="cs-CZ"/>
        </w:rPr>
        <w:t xml:space="preserve"> plynu. Pokiaľ ide o zmluvné portfólio prevádzkovateľa prepravnej siete, popri stabilných dlhodobých kontraktoch je významný aj počet zmlúv týkajúci sa krátkodobých a cezhraničných transakcií medzi obchodnými uzlami (</w:t>
      </w:r>
      <w:proofErr w:type="spellStart"/>
      <w:r w:rsidR="00B27340" w:rsidRPr="00BB7A6F">
        <w:rPr>
          <w:rFonts w:ascii="Times New Roman" w:hAnsi="Times New Roman" w:cs="Times New Roman"/>
          <w:sz w:val="24"/>
          <w:szCs w:val="24"/>
          <w:lang w:eastAsia="cs-CZ"/>
        </w:rPr>
        <w:t>hubmi</w:t>
      </w:r>
      <w:proofErr w:type="spellEnd"/>
      <w:r w:rsidR="00B27340" w:rsidRPr="00BB7A6F">
        <w:rPr>
          <w:rFonts w:ascii="Times New Roman" w:hAnsi="Times New Roman" w:cs="Times New Roman"/>
          <w:sz w:val="24"/>
          <w:szCs w:val="24"/>
          <w:lang w:eastAsia="cs-CZ"/>
        </w:rPr>
        <w:t>) v stredoeurópskom regióne, ako aj kontraktov súvisiacich s liberalizáciou domáceho slovenského trhu s plynom.</w:t>
      </w:r>
    </w:p>
    <w:p w14:paraId="507C4EC1" w14:textId="0D0334FB" w:rsidR="00B27340" w:rsidRPr="00BB7A6F" w:rsidRDefault="00B8646A"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Vývoj prepravy zemného plynu (2015 – 2019)</w:t>
      </w:r>
    </w:p>
    <w:p w14:paraId="4BE62146" w14:textId="77777777" w:rsidR="00B27340" w:rsidRPr="00BB7A6F" w:rsidRDefault="00B27340" w:rsidP="00B27340">
      <w:pPr>
        <w:jc w:val="both"/>
        <w:rPr>
          <w:rFonts w:ascii="Times New Roman" w:hAnsi="Times New Roman" w:cs="Times New Roman"/>
          <w:sz w:val="16"/>
          <w:szCs w:val="16"/>
          <w:lang w:eastAsia="cs-CZ"/>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5"/>
        <w:gridCol w:w="1344"/>
        <w:gridCol w:w="1334"/>
        <w:gridCol w:w="1330"/>
        <w:gridCol w:w="1329"/>
        <w:gridCol w:w="1329"/>
      </w:tblGrid>
      <w:tr w:rsidR="00B27340" w:rsidRPr="00BB7A6F" w14:paraId="75C9B9F5" w14:textId="77777777" w:rsidTr="00B27340">
        <w:tc>
          <w:tcPr>
            <w:tcW w:w="1585" w:type="pct"/>
            <w:shd w:val="clear" w:color="auto" w:fill="FFFFFF"/>
            <w:vAlign w:val="center"/>
          </w:tcPr>
          <w:p w14:paraId="56974821" w14:textId="77777777" w:rsidR="00B27340" w:rsidRPr="00BB7A6F" w:rsidRDefault="00B27340" w:rsidP="00B27340">
            <w:pPr>
              <w:spacing w:before="60" w:after="60" w:line="360" w:lineRule="atLeast"/>
              <w:jc w:val="center"/>
              <w:rPr>
                <w:rFonts w:ascii="Times New Roman" w:hAnsi="Times New Roman" w:cs="Times New Roman"/>
                <w:sz w:val="24"/>
                <w:szCs w:val="24"/>
                <w:lang w:eastAsia="de-DE"/>
              </w:rPr>
            </w:pPr>
            <w:r w:rsidRPr="00BB7A6F">
              <w:rPr>
                <w:rFonts w:ascii="Times New Roman" w:hAnsi="Times New Roman" w:cs="Times New Roman"/>
                <w:sz w:val="24"/>
                <w:szCs w:val="24"/>
                <w:lang w:eastAsia="de-DE"/>
              </w:rPr>
              <w:t>Rok</w:t>
            </w:r>
          </w:p>
        </w:tc>
        <w:tc>
          <w:tcPr>
            <w:tcW w:w="688" w:type="pct"/>
            <w:shd w:val="clear" w:color="auto" w:fill="FFFFFF"/>
            <w:vAlign w:val="center"/>
          </w:tcPr>
          <w:p w14:paraId="04B701B1"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2015</w:t>
            </w:r>
          </w:p>
        </w:tc>
        <w:tc>
          <w:tcPr>
            <w:tcW w:w="683" w:type="pct"/>
            <w:shd w:val="clear" w:color="auto" w:fill="FFFFFF"/>
            <w:vAlign w:val="center"/>
          </w:tcPr>
          <w:p w14:paraId="7BC8A5C2"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2016</w:t>
            </w:r>
          </w:p>
        </w:tc>
        <w:tc>
          <w:tcPr>
            <w:tcW w:w="681" w:type="pct"/>
            <w:shd w:val="clear" w:color="auto" w:fill="FFFFFF"/>
            <w:vAlign w:val="center"/>
          </w:tcPr>
          <w:p w14:paraId="5B8C0819"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2017</w:t>
            </w:r>
          </w:p>
        </w:tc>
        <w:tc>
          <w:tcPr>
            <w:tcW w:w="681" w:type="pct"/>
            <w:shd w:val="clear" w:color="auto" w:fill="FFFFFF"/>
          </w:tcPr>
          <w:p w14:paraId="261F9441"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2018</w:t>
            </w:r>
          </w:p>
        </w:tc>
        <w:tc>
          <w:tcPr>
            <w:tcW w:w="681" w:type="pct"/>
            <w:shd w:val="clear" w:color="auto" w:fill="FFFFFF"/>
          </w:tcPr>
          <w:p w14:paraId="24874E0B" w14:textId="77777777" w:rsidR="00B27340" w:rsidRPr="00BB7A6F" w:rsidRDefault="00B27340" w:rsidP="00B27340">
            <w:pPr>
              <w:spacing w:before="60" w:after="60" w:line="360" w:lineRule="atLeast"/>
              <w:jc w:val="center"/>
              <w:rPr>
                <w:rFonts w:ascii="Times New Roman" w:hAnsi="Times New Roman" w:cs="Times New Roman"/>
                <w:sz w:val="24"/>
                <w:lang w:eastAsia="de-DE"/>
              </w:rPr>
            </w:pPr>
            <w:r w:rsidRPr="00BB7A6F">
              <w:rPr>
                <w:rFonts w:ascii="Times New Roman" w:hAnsi="Times New Roman" w:cs="Times New Roman"/>
                <w:sz w:val="24"/>
                <w:lang w:eastAsia="de-DE"/>
              </w:rPr>
              <w:t>2019</w:t>
            </w:r>
          </w:p>
        </w:tc>
      </w:tr>
      <w:tr w:rsidR="00B27340" w:rsidRPr="00BB7A6F" w14:paraId="6AB47A90" w14:textId="77777777" w:rsidTr="00B27340">
        <w:tc>
          <w:tcPr>
            <w:tcW w:w="1585" w:type="pct"/>
            <w:vAlign w:val="center"/>
          </w:tcPr>
          <w:p w14:paraId="56EFF486" w14:textId="77777777" w:rsidR="00B27340" w:rsidRPr="00BB7A6F" w:rsidRDefault="00B27340" w:rsidP="00B27340">
            <w:pPr>
              <w:spacing w:before="60" w:after="60" w:line="360" w:lineRule="atLeast"/>
              <w:jc w:val="center"/>
              <w:rPr>
                <w:rFonts w:ascii="Times New Roman" w:hAnsi="Times New Roman" w:cs="Times New Roman"/>
                <w:bCs/>
                <w:sz w:val="24"/>
                <w:lang w:eastAsia="de-DE"/>
              </w:rPr>
            </w:pPr>
            <w:r w:rsidRPr="00BB7A6F">
              <w:rPr>
                <w:rFonts w:ascii="Times New Roman" w:hAnsi="Times New Roman" w:cs="Times New Roman"/>
                <w:bCs/>
                <w:sz w:val="24"/>
                <w:lang w:eastAsia="de-DE"/>
              </w:rPr>
              <w:t xml:space="preserve">Celková preprava </w:t>
            </w:r>
            <w:r w:rsidRPr="00BB7A6F">
              <w:rPr>
                <w:rFonts w:ascii="Times New Roman" w:hAnsi="Times New Roman" w:cs="Times New Roman"/>
                <w:sz w:val="23"/>
                <w:lang w:eastAsia="de-DE"/>
              </w:rPr>
              <w:t>[mld. m</w:t>
            </w:r>
            <w:r w:rsidRPr="00BB7A6F">
              <w:rPr>
                <w:rFonts w:ascii="Times New Roman" w:hAnsi="Times New Roman" w:cs="Times New Roman"/>
                <w:sz w:val="23"/>
                <w:vertAlign w:val="superscript"/>
                <w:lang w:eastAsia="de-DE"/>
              </w:rPr>
              <w:t>3</w:t>
            </w:r>
            <w:r w:rsidRPr="00BB7A6F">
              <w:rPr>
                <w:rFonts w:ascii="Times New Roman" w:hAnsi="Times New Roman" w:cs="Times New Roman"/>
                <w:sz w:val="23"/>
                <w:lang w:eastAsia="de-DE"/>
              </w:rPr>
              <w:t>]</w:t>
            </w:r>
          </w:p>
        </w:tc>
        <w:tc>
          <w:tcPr>
            <w:tcW w:w="688" w:type="pct"/>
            <w:vAlign w:val="center"/>
          </w:tcPr>
          <w:p w14:paraId="4E849092"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55,8</w:t>
            </w:r>
          </w:p>
        </w:tc>
        <w:tc>
          <w:tcPr>
            <w:tcW w:w="683" w:type="pct"/>
            <w:vAlign w:val="center"/>
          </w:tcPr>
          <w:p w14:paraId="4EAB0D5A"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60,6</w:t>
            </w:r>
          </w:p>
        </w:tc>
        <w:tc>
          <w:tcPr>
            <w:tcW w:w="681" w:type="pct"/>
            <w:vAlign w:val="center"/>
          </w:tcPr>
          <w:p w14:paraId="132C0725"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64,2</w:t>
            </w:r>
          </w:p>
        </w:tc>
        <w:tc>
          <w:tcPr>
            <w:tcW w:w="681" w:type="pct"/>
          </w:tcPr>
          <w:p w14:paraId="1B1ADAEE"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59,7</w:t>
            </w:r>
          </w:p>
        </w:tc>
        <w:tc>
          <w:tcPr>
            <w:tcW w:w="681" w:type="pct"/>
          </w:tcPr>
          <w:p w14:paraId="704D90AF" w14:textId="77777777" w:rsidR="00B27340" w:rsidRPr="00BB7A6F" w:rsidRDefault="00B27340" w:rsidP="00B27340">
            <w:pPr>
              <w:spacing w:before="60" w:after="60" w:line="360" w:lineRule="atLeast"/>
              <w:jc w:val="center"/>
              <w:rPr>
                <w:rFonts w:ascii="Times New Roman" w:hAnsi="Times New Roman" w:cs="Times New Roman"/>
                <w:b/>
                <w:bCs/>
                <w:sz w:val="24"/>
                <w:lang w:eastAsia="de-DE"/>
              </w:rPr>
            </w:pPr>
            <w:r w:rsidRPr="00BB7A6F">
              <w:rPr>
                <w:rFonts w:ascii="Times New Roman" w:hAnsi="Times New Roman" w:cs="Times New Roman"/>
                <w:b/>
                <w:bCs/>
                <w:sz w:val="24"/>
                <w:lang w:eastAsia="de-DE"/>
              </w:rPr>
              <w:t>69,1</w:t>
            </w:r>
          </w:p>
        </w:tc>
      </w:tr>
    </w:tbl>
    <w:p w14:paraId="28CEE338" w14:textId="77777777" w:rsidR="00B27340" w:rsidRPr="00BB7A6F" w:rsidRDefault="00B27340" w:rsidP="00B27340">
      <w:pPr>
        <w:spacing w:before="60"/>
        <w:jc w:val="both"/>
        <w:rPr>
          <w:rFonts w:ascii="Times New Roman" w:hAnsi="Times New Roman" w:cs="Times New Roman"/>
          <w:sz w:val="24"/>
          <w:szCs w:val="24"/>
          <w:lang w:eastAsia="cs-CZ"/>
        </w:rPr>
      </w:pPr>
      <w:r w:rsidRPr="00BB7A6F">
        <w:rPr>
          <w:rFonts w:ascii="Times New Roman" w:hAnsi="Times New Roman" w:cs="Times New Roman"/>
          <w:i/>
          <w:sz w:val="16"/>
          <w:szCs w:val="16"/>
          <w:lang w:eastAsia="cs-CZ"/>
        </w:rPr>
        <w:t xml:space="preserve">Zdroj: </w:t>
      </w:r>
      <w:proofErr w:type="spellStart"/>
      <w:r w:rsidRPr="00BB7A6F">
        <w:rPr>
          <w:rFonts w:ascii="Times New Roman" w:hAnsi="Times New Roman" w:cs="Times New Roman"/>
          <w:i/>
          <w:sz w:val="16"/>
          <w:szCs w:val="16"/>
          <w:lang w:eastAsia="cs-CZ"/>
        </w:rPr>
        <w:t>eustream</w:t>
      </w:r>
      <w:proofErr w:type="spellEnd"/>
      <w:r w:rsidRPr="00BB7A6F">
        <w:rPr>
          <w:rFonts w:ascii="Times New Roman" w:hAnsi="Times New Roman" w:cs="Times New Roman"/>
          <w:i/>
          <w:sz w:val="16"/>
          <w:szCs w:val="16"/>
          <w:lang w:eastAsia="cs-CZ"/>
        </w:rPr>
        <w:t>, a.s.</w:t>
      </w:r>
    </w:p>
    <w:p w14:paraId="3CD8CB53" w14:textId="4F143901" w:rsidR="00B27340" w:rsidRPr="00BB7A6F" w:rsidRDefault="00B8646A"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V rámci prepravnej siete v prípade výskytu krízových situácii je možné využiť reverzný tok plynu. V tomto režime je možné zo západu na východ prepraviť množstvo plynu, ktoré je vyššie ako najvyššia spotreba na Slovensku v zimných mesiacoch.</w:t>
      </w:r>
    </w:p>
    <w:p w14:paraId="7ED89839" w14:textId="5B42BBA6"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 xml:space="preserve">V prevádzke </w:t>
      </w:r>
      <w:r w:rsidR="00B27340" w:rsidRPr="00BB7A6F">
        <w:rPr>
          <w:rFonts w:ascii="Times New Roman" w:hAnsi="Times New Roman" w:cs="Times New Roman"/>
          <w:sz w:val="24"/>
          <w:szCs w:val="24"/>
          <w:u w:val="single"/>
          <w:lang w:eastAsia="cs-CZ"/>
        </w:rPr>
        <w:t>distribučných sietí neboli zaznamenané žiadne udalosti</w:t>
      </w:r>
      <w:r w:rsidR="00B27340" w:rsidRPr="00BB7A6F">
        <w:rPr>
          <w:rFonts w:ascii="Times New Roman" w:hAnsi="Times New Roman" w:cs="Times New Roman"/>
          <w:sz w:val="24"/>
          <w:szCs w:val="24"/>
          <w:lang w:eastAsia="cs-CZ"/>
        </w:rPr>
        <w:t>, ktoré by mali vplyv na dodávku zemného plynu pre odberateľov na Slovensku.</w:t>
      </w:r>
    </w:p>
    <w:p w14:paraId="0E55C458" w14:textId="2BB509B9"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Počas sledovaného obdobia sa vyskytlo len niekoľko krátkodobých a časovo obmedzených úzko lokálnych výpadkov v dodávke plynu spôsobených nutnosťou prerušiť dodávku z bezpečnostných dôvodov.</w:t>
      </w:r>
    </w:p>
    <w:p w14:paraId="1A959E57" w14:textId="67B1D13D"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 xml:space="preserve">V sledovanom období sa v rámci prevádzkovania plynárenských zariadení vyskytla jedna havária plynárenského zariadenia s následkami, ktoré spôsobili straty na životoch ako aj materiálne škody </w:t>
      </w:r>
      <w:r w:rsidR="00B27340" w:rsidRPr="00BB7A6F">
        <w:rPr>
          <w:rFonts w:ascii="Times New Roman" w:hAnsi="Times New Roman" w:cs="Times New Roman"/>
          <w:sz w:val="24"/>
          <w:szCs w:val="24"/>
          <w:lang w:eastAsia="cs-CZ"/>
        </w:rPr>
        <w:lastRenderedPageBreak/>
        <w:t>(mimoriadna udalosť Prešov – Mukačevská ulica) z dôvodu zásahu tretej strany do plynárenského zariadenia vo vlastníctve spoločnosti SPP – distribúcia, a.s.</w:t>
      </w:r>
    </w:p>
    <w:p w14:paraId="7BDBD6B4" w14:textId="6CF7562C"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V rámci najväčšej distribučnej siete na Slovensku prevádzkovanej spoločnosťou SPP – distribúcia, a.s., ktorá je tvorená komplexom plynárenských rozvodných zariadení, ktoré zahŕňajú potrubný plynárenský systém a technologické zariadenia, sa vykonávali inšpekcie, preventívne opravy a údržba plynárenských zariadení podľa stanovených kritérií, ktoré prispievali k zabezpečeniu jej integrity, spoľahlivosti a bezpečnosti. Realizovalo sa odstraňovanie porúch zistených vonkajšou a vnútornou inšpekciou plynovodov, opravami alebo rekonštrukciami plynárenských zariadení. Do obnovy a rekonštrukcie distribučnej siete SPP – distribúcia, a.s. s cieľom zvýšiť spoľahlivosť a bezpečnosť v roku 2019 investovala takmer 34 mil. €.</w:t>
      </w:r>
    </w:p>
    <w:p w14:paraId="3BC8B68B" w14:textId="77777777" w:rsidR="00B27340" w:rsidRPr="00BB7A6F" w:rsidRDefault="00B27340" w:rsidP="00B27340">
      <w:pPr>
        <w:jc w:val="both"/>
        <w:rPr>
          <w:rFonts w:ascii="Times New Roman" w:hAnsi="Times New Roman" w:cs="Times New Roman"/>
          <w:sz w:val="24"/>
          <w:szCs w:val="24"/>
          <w:lang w:eastAsia="cs-CZ"/>
        </w:rPr>
      </w:pPr>
    </w:p>
    <w:p w14:paraId="1E0FD5C7"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Údržba distribučnej siete SPP – distribúcia, a.s. je zabezpečovaná v súlade s platnou legislatívou, príslušnými normami, internými riadiacimi aktmi spoločnosti, technickými pravidlami plynu (TPP), ako aj sprievodnou dokumentáciou výrobcov jednotlivých komponentov, ktoré tvoria distribučnú sieť.</w:t>
      </w:r>
    </w:p>
    <w:p w14:paraId="6089009E" w14:textId="77777777" w:rsidR="00B27340" w:rsidRPr="00BB7A6F" w:rsidRDefault="00B27340" w:rsidP="00B27340">
      <w:pPr>
        <w:jc w:val="both"/>
        <w:rPr>
          <w:rFonts w:ascii="Times New Roman" w:hAnsi="Times New Roman" w:cs="Times New Roman"/>
          <w:sz w:val="24"/>
          <w:szCs w:val="24"/>
          <w:lang w:eastAsia="cs-CZ"/>
        </w:rPr>
      </w:pPr>
    </w:p>
    <w:p w14:paraId="02E998A0"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K 1. januáru 2020 je evidovaný nasledovný stav najväčšej distribučnej siete v SR: vysokotlakové plynovody predstavovali 6 277 km, strednotlakové a nízkotlakové plynovody 27 047 km. Distribučnú sieť SPP – distribúcia, a.s. využívalo k 31. júlu 2019 26 obchodníkov s plynom.</w:t>
      </w:r>
    </w:p>
    <w:p w14:paraId="0F5ABB68" w14:textId="6FD48EAC"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Za účelom bezpečnej a efektívnej prevádzky regulačných staníc majú tieto stanice monitorovací systém umožňujúci prenos údajov na plynárenský dispečing. Monitorovací systém umožňuje v prípade poruchy alebo havárie okamžitý zásah s optimalizáciou riadenia siete až po odstránenie poruchy.</w:t>
      </w:r>
    </w:p>
    <w:p w14:paraId="39BAE867" w14:textId="48724F80"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Spoločnosť SPP – distribúcia, a.s. plánuje svoju distribučnú sieť v najbližšom období rozširovať len v minimálnom rozsahu. Plynofikovaných je v súčasnosti 77% (2 233) obcí, v ktorých žije viac ako 94% všetkých obyvateľov Slovenska. Spoločnosť má do svojej siete pripojených viac ako 1,52 milióna odberateľov. Vzhľadom na významný rozvoj výstavby nových obytných lokalít, situovaný v splynofikovaných obciach, je plánované zahusťovanie siete a pripájanie týchto lokalít do distribučnej siete.</w:t>
      </w:r>
    </w:p>
    <w:p w14:paraId="10861F4A" w14:textId="6460B472"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Slovensko disponuje podzemnými zásobníkmi plynu, ktoré sú situované v juhozápadnej časti krajiny a zohrávajú významnú úlohu pri vyrovnávaní nerovnomernosti dodávok a odberov plynu, ako aj v prípade špičkových odberov. Zásobníky plynu je možné považovať za najvýznamnejší nástroj bezpečnosti dodávok plynu. V súčasnosti ich prevádzkovatelia poskytujú služby uskladňovania zemného plynu aj pre viaceré zahraničné plynárenské spoločnosti.</w:t>
      </w:r>
    </w:p>
    <w:p w14:paraId="1B0BC72A"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lastRenderedPageBreak/>
        <w:t xml:space="preserve">Celková kapacita zásobníkov na území Slovenskej republiky je 42 547 </w:t>
      </w:r>
      <w:proofErr w:type="spellStart"/>
      <w:r w:rsidRPr="00BB7A6F">
        <w:rPr>
          <w:rFonts w:ascii="Times New Roman" w:hAnsi="Times New Roman" w:cs="Times New Roman"/>
          <w:sz w:val="24"/>
          <w:szCs w:val="24"/>
          <w:lang w:eastAsia="cs-CZ"/>
        </w:rPr>
        <w:t>GWh</w:t>
      </w:r>
      <w:proofErr w:type="spellEnd"/>
      <w:r w:rsidRPr="00BB7A6F">
        <w:rPr>
          <w:rFonts w:ascii="Times New Roman" w:hAnsi="Times New Roman" w:cs="Times New Roman"/>
          <w:sz w:val="24"/>
          <w:szCs w:val="24"/>
          <w:lang w:eastAsia="cs-CZ"/>
        </w:rPr>
        <w:t xml:space="preserve"> (cca 4,01 mld. m</w:t>
      </w:r>
      <w:r w:rsidRPr="00BB7A6F">
        <w:rPr>
          <w:rFonts w:ascii="Times New Roman" w:hAnsi="Times New Roman" w:cs="Times New Roman"/>
          <w:sz w:val="24"/>
          <w:szCs w:val="24"/>
          <w:vertAlign w:val="superscript"/>
          <w:lang w:eastAsia="cs-CZ"/>
        </w:rPr>
        <w:t>3</w:t>
      </w:r>
      <w:r w:rsidRPr="00BB7A6F">
        <w:rPr>
          <w:rFonts w:ascii="Times New Roman" w:hAnsi="Times New Roman" w:cs="Times New Roman"/>
          <w:sz w:val="24"/>
          <w:szCs w:val="24"/>
          <w:lang w:eastAsia="cs-CZ"/>
        </w:rPr>
        <w:t>), pričom maximálny denný pevný ťažobný výkon je cca 465GWh (43,8 mil. m</w:t>
      </w:r>
      <w:r w:rsidRPr="00BB7A6F">
        <w:rPr>
          <w:rFonts w:ascii="Times New Roman" w:hAnsi="Times New Roman" w:cs="Times New Roman"/>
          <w:sz w:val="24"/>
          <w:szCs w:val="24"/>
          <w:vertAlign w:val="superscript"/>
          <w:lang w:eastAsia="cs-CZ"/>
        </w:rPr>
        <w:t>3</w:t>
      </w:r>
      <w:r w:rsidRPr="00BB7A6F">
        <w:rPr>
          <w:rFonts w:ascii="Times New Roman" w:hAnsi="Times New Roman" w:cs="Times New Roman"/>
          <w:sz w:val="24"/>
          <w:szCs w:val="24"/>
          <w:lang w:eastAsia="cs-CZ"/>
        </w:rPr>
        <w:t xml:space="preserve">), maximálny denný pevný </w:t>
      </w:r>
      <w:proofErr w:type="spellStart"/>
      <w:r w:rsidRPr="00BB7A6F">
        <w:rPr>
          <w:rFonts w:ascii="Times New Roman" w:hAnsi="Times New Roman" w:cs="Times New Roman"/>
          <w:sz w:val="24"/>
          <w:szCs w:val="24"/>
          <w:lang w:eastAsia="cs-CZ"/>
        </w:rPr>
        <w:t>vtlačný</w:t>
      </w:r>
      <w:proofErr w:type="spellEnd"/>
      <w:r w:rsidRPr="00BB7A6F">
        <w:rPr>
          <w:rFonts w:ascii="Times New Roman" w:hAnsi="Times New Roman" w:cs="Times New Roman"/>
          <w:sz w:val="24"/>
          <w:szCs w:val="24"/>
          <w:lang w:eastAsia="cs-CZ"/>
        </w:rPr>
        <w:t xml:space="preserve"> výkon cca 410 </w:t>
      </w:r>
      <w:proofErr w:type="spellStart"/>
      <w:r w:rsidRPr="00BB7A6F">
        <w:rPr>
          <w:rFonts w:ascii="Times New Roman" w:hAnsi="Times New Roman" w:cs="Times New Roman"/>
          <w:sz w:val="24"/>
          <w:szCs w:val="24"/>
          <w:lang w:eastAsia="cs-CZ"/>
        </w:rPr>
        <w:t>GWh</w:t>
      </w:r>
      <w:proofErr w:type="spellEnd"/>
      <w:r w:rsidRPr="00BB7A6F">
        <w:rPr>
          <w:rFonts w:ascii="Times New Roman" w:hAnsi="Times New Roman" w:cs="Times New Roman"/>
          <w:sz w:val="24"/>
          <w:szCs w:val="24"/>
          <w:lang w:eastAsia="cs-CZ"/>
        </w:rPr>
        <w:t xml:space="preserve"> (38 mil. m</w:t>
      </w:r>
      <w:r w:rsidRPr="00BB7A6F">
        <w:rPr>
          <w:rFonts w:ascii="Times New Roman" w:hAnsi="Times New Roman" w:cs="Times New Roman"/>
          <w:sz w:val="24"/>
          <w:szCs w:val="24"/>
          <w:vertAlign w:val="superscript"/>
          <w:lang w:eastAsia="cs-CZ"/>
        </w:rPr>
        <w:t>3</w:t>
      </w:r>
      <w:r w:rsidRPr="00BB7A6F">
        <w:rPr>
          <w:rFonts w:ascii="Times New Roman" w:hAnsi="Times New Roman" w:cs="Times New Roman"/>
          <w:sz w:val="24"/>
          <w:szCs w:val="24"/>
          <w:lang w:eastAsia="cs-CZ"/>
        </w:rPr>
        <w:t>). Prevádzkovateľmi zásobníkov na Slovensku sú spoločnosti NAFTA a.s., Bratislava a POZAGAS a.s., Malacky.</w:t>
      </w:r>
    </w:p>
    <w:p w14:paraId="2DE4532D"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 xml:space="preserve">Pre potreby Slovenska je využívaný aj podzemný zásobník situovaný na území Českej republiky (Dolní </w:t>
      </w:r>
      <w:proofErr w:type="spellStart"/>
      <w:r w:rsidRPr="00BB7A6F">
        <w:rPr>
          <w:rFonts w:ascii="Times New Roman" w:hAnsi="Times New Roman" w:cs="Times New Roman"/>
          <w:sz w:val="24"/>
          <w:szCs w:val="24"/>
          <w:lang w:eastAsia="cs-CZ"/>
        </w:rPr>
        <w:t>Bojanovice</w:t>
      </w:r>
      <w:proofErr w:type="spellEnd"/>
      <w:r w:rsidRPr="00BB7A6F">
        <w:rPr>
          <w:rFonts w:ascii="Times New Roman" w:hAnsi="Times New Roman" w:cs="Times New Roman"/>
          <w:sz w:val="24"/>
          <w:szCs w:val="24"/>
          <w:lang w:eastAsia="cs-CZ"/>
        </w:rPr>
        <w:t>) s kapacitou 6 944GWh (cca 0,65 mld. m</w:t>
      </w:r>
      <w:r w:rsidRPr="00BB7A6F">
        <w:rPr>
          <w:rFonts w:ascii="Times New Roman" w:hAnsi="Times New Roman" w:cs="Times New Roman"/>
          <w:sz w:val="24"/>
          <w:szCs w:val="24"/>
          <w:vertAlign w:val="superscript"/>
          <w:lang w:eastAsia="cs-CZ"/>
        </w:rPr>
        <w:t>3</w:t>
      </w:r>
      <w:r w:rsidRPr="00BB7A6F">
        <w:rPr>
          <w:rFonts w:ascii="Times New Roman" w:hAnsi="Times New Roman" w:cs="Times New Roman"/>
          <w:sz w:val="24"/>
          <w:szCs w:val="24"/>
          <w:lang w:eastAsia="cs-CZ"/>
        </w:rPr>
        <w:t xml:space="preserve">), ktorý je prevádzkovaný spoločnosťou SPP </w:t>
      </w:r>
      <w:proofErr w:type="spellStart"/>
      <w:r w:rsidRPr="00BB7A6F">
        <w:rPr>
          <w:rFonts w:ascii="Times New Roman" w:hAnsi="Times New Roman" w:cs="Times New Roman"/>
          <w:sz w:val="24"/>
          <w:szCs w:val="24"/>
          <w:lang w:eastAsia="cs-CZ"/>
        </w:rPr>
        <w:t>Storage</w:t>
      </w:r>
      <w:proofErr w:type="spellEnd"/>
      <w:r w:rsidRPr="00BB7A6F">
        <w:rPr>
          <w:rFonts w:ascii="Times New Roman" w:hAnsi="Times New Roman" w:cs="Times New Roman"/>
          <w:sz w:val="24"/>
          <w:szCs w:val="24"/>
          <w:lang w:eastAsia="cs-CZ"/>
        </w:rPr>
        <w:t xml:space="preserve"> s.r.o., Praha. Tento zásobník je napojený na slovenskú plynárenskú sieť a je nezávislý od spojovacích technológií využívaných spoločnosťami POZAGAS a.s. a NAFTA a.s. Zásobník Dolní </w:t>
      </w:r>
      <w:proofErr w:type="spellStart"/>
      <w:r w:rsidRPr="00BB7A6F">
        <w:rPr>
          <w:rFonts w:ascii="Times New Roman" w:hAnsi="Times New Roman" w:cs="Times New Roman"/>
          <w:sz w:val="24"/>
          <w:szCs w:val="24"/>
          <w:lang w:eastAsia="cs-CZ"/>
        </w:rPr>
        <w:t>Bojanovice</w:t>
      </w:r>
      <w:proofErr w:type="spellEnd"/>
      <w:r w:rsidRPr="00BB7A6F">
        <w:rPr>
          <w:rFonts w:ascii="Times New Roman" w:hAnsi="Times New Roman" w:cs="Times New Roman"/>
          <w:sz w:val="24"/>
          <w:szCs w:val="24"/>
          <w:lang w:eastAsia="cs-CZ"/>
        </w:rPr>
        <w:t xml:space="preserve"> je využívaný pre účely vyvažovania slovenskej distribučnej siete, zároveň ponúka možnosti dodatočného zabezpečenia bezpečnosti dodávok plynu pre odberateľov plynu v domácnosti.</w:t>
      </w:r>
    </w:p>
    <w:p w14:paraId="5E6E5BB5" w14:textId="55513B32"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u w:val="single"/>
          <w:lang w:eastAsia="cs-CZ"/>
        </w:rPr>
        <w:br/>
      </w:r>
      <w:r w:rsidR="00B27340" w:rsidRPr="00BB7A6F">
        <w:rPr>
          <w:rFonts w:ascii="Times New Roman" w:hAnsi="Times New Roman" w:cs="Times New Roman"/>
          <w:sz w:val="24"/>
          <w:szCs w:val="24"/>
          <w:u w:val="single"/>
          <w:lang w:eastAsia="cs-CZ"/>
        </w:rPr>
        <w:t>Počas roka 2019 neboli zaznamenané žiadne závažné poruchy</w:t>
      </w:r>
      <w:r w:rsidR="00B27340" w:rsidRPr="00BB7A6F">
        <w:rPr>
          <w:rFonts w:ascii="Times New Roman" w:hAnsi="Times New Roman" w:cs="Times New Roman"/>
          <w:sz w:val="24"/>
          <w:szCs w:val="24"/>
          <w:lang w:eastAsia="cs-CZ"/>
        </w:rPr>
        <w:t>, ktoré by mali vplyv na prevádzku zásobníkov.</w:t>
      </w:r>
    </w:p>
    <w:p w14:paraId="6A0925AC" w14:textId="2858C043"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Spoločnosť NAFTA a.s. má pripravené dva projekty rozvoja zásobníkov. V jednom prípade ide o nový zásobník na východe Slovenska – geologická štruktúra Ptrukša (predpokladané technické parametre: pracovný objem 0,34 mld. m</w:t>
      </w:r>
      <w:r w:rsidR="00B27340" w:rsidRPr="00BB7A6F">
        <w:rPr>
          <w:rFonts w:ascii="Times New Roman" w:hAnsi="Times New Roman" w:cs="Times New Roman"/>
          <w:sz w:val="24"/>
          <w:szCs w:val="24"/>
          <w:vertAlign w:val="superscript"/>
          <w:lang w:eastAsia="cs-CZ"/>
        </w:rPr>
        <w:t>3</w:t>
      </w:r>
      <w:r w:rsidR="00B27340" w:rsidRPr="00BB7A6F">
        <w:rPr>
          <w:rFonts w:ascii="Times New Roman" w:hAnsi="Times New Roman" w:cs="Times New Roman"/>
          <w:sz w:val="24"/>
          <w:szCs w:val="24"/>
          <w:lang w:eastAsia="cs-CZ"/>
        </w:rPr>
        <w:t xml:space="preserve">, ťažobný a </w:t>
      </w:r>
      <w:proofErr w:type="spellStart"/>
      <w:r w:rsidR="00B27340" w:rsidRPr="00BB7A6F">
        <w:rPr>
          <w:rFonts w:ascii="Times New Roman" w:hAnsi="Times New Roman" w:cs="Times New Roman"/>
          <w:sz w:val="24"/>
          <w:szCs w:val="24"/>
          <w:lang w:eastAsia="cs-CZ"/>
        </w:rPr>
        <w:t>vtlačný</w:t>
      </w:r>
      <w:proofErr w:type="spellEnd"/>
      <w:r w:rsidR="00B27340" w:rsidRPr="00BB7A6F">
        <w:rPr>
          <w:rFonts w:ascii="Times New Roman" w:hAnsi="Times New Roman" w:cs="Times New Roman"/>
          <w:sz w:val="24"/>
          <w:szCs w:val="24"/>
          <w:lang w:eastAsia="cs-CZ"/>
        </w:rPr>
        <w:t xml:space="preserve"> výkon 3,75 mil. m</w:t>
      </w:r>
      <w:r w:rsidR="00B27340" w:rsidRPr="00BB7A6F">
        <w:rPr>
          <w:rFonts w:ascii="Times New Roman" w:hAnsi="Times New Roman" w:cs="Times New Roman"/>
          <w:sz w:val="24"/>
          <w:szCs w:val="24"/>
          <w:vertAlign w:val="superscript"/>
          <w:lang w:eastAsia="cs-CZ"/>
        </w:rPr>
        <w:t>3</w:t>
      </w:r>
      <w:r w:rsidR="00B27340" w:rsidRPr="00BB7A6F">
        <w:rPr>
          <w:rFonts w:ascii="Times New Roman" w:hAnsi="Times New Roman" w:cs="Times New Roman"/>
          <w:sz w:val="24"/>
          <w:szCs w:val="24"/>
          <w:lang w:eastAsia="cs-CZ"/>
        </w:rPr>
        <w:t>/deň). Ďalším projektom je rozšírenie existujúceho komplexu Láb (predpokladané technické parametre: pracovný objem 0,55 mld. m</w:t>
      </w:r>
      <w:r w:rsidR="00B27340" w:rsidRPr="00BB7A6F">
        <w:rPr>
          <w:rFonts w:ascii="Times New Roman" w:hAnsi="Times New Roman" w:cs="Times New Roman"/>
          <w:sz w:val="24"/>
          <w:szCs w:val="24"/>
          <w:vertAlign w:val="superscript"/>
          <w:lang w:eastAsia="cs-CZ"/>
        </w:rPr>
        <w:t>3</w:t>
      </w:r>
      <w:r w:rsidR="00B27340" w:rsidRPr="00BB7A6F">
        <w:rPr>
          <w:rFonts w:ascii="Times New Roman" w:hAnsi="Times New Roman" w:cs="Times New Roman"/>
          <w:sz w:val="24"/>
          <w:szCs w:val="24"/>
          <w:lang w:eastAsia="cs-CZ"/>
        </w:rPr>
        <w:t>, zvýšenie ťažobného výkonu o 10 mil. m</w:t>
      </w:r>
      <w:r w:rsidR="00B27340" w:rsidRPr="00BB7A6F">
        <w:rPr>
          <w:rFonts w:ascii="Times New Roman" w:hAnsi="Times New Roman" w:cs="Times New Roman"/>
          <w:sz w:val="24"/>
          <w:szCs w:val="24"/>
          <w:vertAlign w:val="superscript"/>
          <w:lang w:eastAsia="cs-CZ"/>
        </w:rPr>
        <w:t>3</w:t>
      </w:r>
      <w:r w:rsidR="00B27340" w:rsidRPr="00BB7A6F">
        <w:rPr>
          <w:rFonts w:ascii="Times New Roman" w:hAnsi="Times New Roman" w:cs="Times New Roman"/>
          <w:sz w:val="24"/>
          <w:szCs w:val="24"/>
          <w:lang w:eastAsia="cs-CZ"/>
        </w:rPr>
        <w:t>/deň a </w:t>
      </w:r>
      <w:proofErr w:type="spellStart"/>
      <w:r w:rsidR="00B27340" w:rsidRPr="00BB7A6F">
        <w:rPr>
          <w:rFonts w:ascii="Times New Roman" w:hAnsi="Times New Roman" w:cs="Times New Roman"/>
          <w:sz w:val="24"/>
          <w:szCs w:val="24"/>
          <w:lang w:eastAsia="cs-CZ"/>
        </w:rPr>
        <w:t>vtlačného</w:t>
      </w:r>
      <w:proofErr w:type="spellEnd"/>
      <w:r w:rsidR="00B27340" w:rsidRPr="00BB7A6F">
        <w:rPr>
          <w:rFonts w:ascii="Times New Roman" w:hAnsi="Times New Roman" w:cs="Times New Roman"/>
          <w:sz w:val="24"/>
          <w:szCs w:val="24"/>
          <w:lang w:eastAsia="cs-CZ"/>
        </w:rPr>
        <w:t xml:space="preserve"> výkonu o 8 mil. m</w:t>
      </w:r>
      <w:r w:rsidR="00B27340" w:rsidRPr="00BB7A6F">
        <w:rPr>
          <w:rFonts w:ascii="Times New Roman" w:hAnsi="Times New Roman" w:cs="Times New Roman"/>
          <w:sz w:val="24"/>
          <w:szCs w:val="24"/>
          <w:vertAlign w:val="superscript"/>
          <w:lang w:eastAsia="cs-CZ"/>
        </w:rPr>
        <w:t>3</w:t>
      </w:r>
      <w:r w:rsidR="00B27340" w:rsidRPr="00BB7A6F">
        <w:rPr>
          <w:rFonts w:ascii="Times New Roman" w:hAnsi="Times New Roman" w:cs="Times New Roman"/>
          <w:sz w:val="24"/>
          <w:szCs w:val="24"/>
          <w:lang w:eastAsia="cs-CZ"/>
        </w:rPr>
        <w:t>/deň). Realizácia týchto projektov však bude závisieť od situácie na trhu so skladovaním zemného plynu ako aj od možností získania finančnej podpory zo zdrojov Európskej únie.</w:t>
      </w:r>
    </w:p>
    <w:p w14:paraId="7BF73642"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Prevádzkovatelia zásobníkov zároveň realizujú technické opatrenia, ktoré umožnia flexibilne reagovať na požiadavky zákazníkov a vytvárať nové skladovacie produkty podľa požiadaviek účastníkov trhu s plynom.</w:t>
      </w:r>
    </w:p>
    <w:p w14:paraId="4CEBBE0E" w14:textId="7504E8CF" w:rsidR="00B27340" w:rsidRPr="00BB7A6F" w:rsidRDefault="00E1031B" w:rsidP="00B27340">
      <w:pPr>
        <w:jc w:val="both"/>
        <w:rPr>
          <w:rFonts w:ascii="Times New Roman" w:hAnsi="Times New Roman" w:cs="Times New Roman"/>
          <w:b/>
          <w:bCs/>
          <w:sz w:val="24"/>
          <w:szCs w:val="24"/>
          <w:lang w:eastAsia="cs-CZ"/>
        </w:rPr>
      </w:pPr>
      <w:r>
        <w:rPr>
          <w:rFonts w:ascii="Times New Roman" w:hAnsi="Times New Roman" w:cs="Times New Roman"/>
          <w:b/>
          <w:bCs/>
          <w:sz w:val="24"/>
          <w:szCs w:val="24"/>
          <w:lang w:eastAsia="cs-CZ"/>
        </w:rPr>
        <w:br/>
      </w:r>
      <w:r w:rsidR="00B27340" w:rsidRPr="00BB7A6F">
        <w:rPr>
          <w:rFonts w:ascii="Times New Roman" w:hAnsi="Times New Roman" w:cs="Times New Roman"/>
          <w:b/>
          <w:bCs/>
          <w:sz w:val="24"/>
          <w:szCs w:val="24"/>
          <w:lang w:eastAsia="cs-CZ"/>
        </w:rPr>
        <w:t>5. Opatrenia na pokrytie špičkovej spotreby, riešenie výpadku v dodávke</w:t>
      </w:r>
    </w:p>
    <w:p w14:paraId="0DA37C37" w14:textId="7627EEE6" w:rsidR="00B27340" w:rsidRPr="00BB7A6F" w:rsidRDefault="00B27340" w:rsidP="00E1031B">
      <w:pPr>
        <w:keepNext/>
        <w:jc w:val="both"/>
        <w:outlineLvl w:val="1"/>
        <w:rPr>
          <w:rFonts w:ascii="Times New Roman" w:hAnsi="Times New Roman" w:cs="Times New Roman"/>
          <w:sz w:val="24"/>
          <w:szCs w:val="28"/>
          <w:lang w:eastAsia="cs-CZ"/>
        </w:rPr>
      </w:pPr>
      <w:r w:rsidRPr="00BB7A6F">
        <w:rPr>
          <w:rFonts w:ascii="Times New Roman" w:hAnsi="Times New Roman" w:cs="Times New Roman"/>
          <w:sz w:val="24"/>
          <w:szCs w:val="24"/>
          <w:lang w:eastAsia="cs-CZ"/>
        </w:rPr>
        <w:t>Zákonom o energetike boli stanovené aj podmienky riadenia plynárenských sietí.</w:t>
      </w:r>
      <w:r w:rsidR="00E1031B">
        <w:rPr>
          <w:rFonts w:ascii="Times New Roman" w:hAnsi="Times New Roman" w:cs="Times New Roman"/>
          <w:sz w:val="24"/>
          <w:szCs w:val="24"/>
          <w:lang w:eastAsia="cs-CZ"/>
        </w:rPr>
        <w:br/>
      </w:r>
      <w:r w:rsidR="00E1031B">
        <w:rPr>
          <w:rFonts w:ascii="Times New Roman" w:hAnsi="Times New Roman" w:cs="Times New Roman"/>
          <w:sz w:val="24"/>
          <w:szCs w:val="24"/>
          <w:lang w:eastAsia="cs-CZ"/>
        </w:rPr>
        <w:br/>
      </w:r>
      <w:r w:rsidRPr="00BB7A6F">
        <w:rPr>
          <w:rFonts w:ascii="Times New Roman" w:hAnsi="Times New Roman" w:cs="Times New Roman"/>
          <w:sz w:val="24"/>
          <w:szCs w:val="28"/>
          <w:lang w:eastAsia="cs-CZ"/>
        </w:rPr>
        <w:t>Distribučnú sieť na vymedzenom území Slovenskej republiky (ďalej len „vymedzené územie“) riadi plynárenský dispečing, ktorý je zodpovedný za operatívne riadenie distribučnej siete. Úlohy plynárenského dispečingu na vymedzenom území na základe rozhodnutia ministerstva plní dispečing prevádzkovateľa distribučnej siete spoločnosti SPP – distribúcia, a.s.</w:t>
      </w:r>
    </w:p>
    <w:p w14:paraId="79348580" w14:textId="77777777" w:rsidR="00B27340" w:rsidRPr="00BB7A6F" w:rsidRDefault="00B27340" w:rsidP="00B27340">
      <w:pPr>
        <w:rPr>
          <w:rFonts w:ascii="Times New Roman" w:hAnsi="Times New Roman" w:cs="Times New Roman"/>
          <w:sz w:val="24"/>
          <w:szCs w:val="28"/>
          <w:lang w:eastAsia="cs-CZ"/>
        </w:rPr>
      </w:pPr>
      <w:r w:rsidRPr="00BB7A6F">
        <w:rPr>
          <w:rFonts w:ascii="Times New Roman" w:hAnsi="Times New Roman" w:cs="Times New Roman"/>
          <w:sz w:val="24"/>
          <w:szCs w:val="28"/>
          <w:lang w:eastAsia="cs-CZ"/>
        </w:rPr>
        <w:t>Plynárenský dispečing na vymedzenom území plní tieto úlohy:</w:t>
      </w:r>
    </w:p>
    <w:p w14:paraId="6EF27CB4" w14:textId="77777777" w:rsidR="00B27340" w:rsidRPr="00BB7A6F" w:rsidRDefault="00B27340" w:rsidP="005F0557">
      <w:pPr>
        <w:numPr>
          <w:ilvl w:val="0"/>
          <w:numId w:val="19"/>
        </w:numPr>
        <w:spacing w:after="0" w:line="240" w:lineRule="auto"/>
        <w:ind w:left="357" w:hanging="357"/>
        <w:jc w:val="both"/>
        <w:rPr>
          <w:rFonts w:ascii="Times New Roman" w:hAnsi="Times New Roman" w:cs="Times New Roman"/>
          <w:sz w:val="24"/>
          <w:szCs w:val="28"/>
          <w:lang w:eastAsia="cs-CZ"/>
        </w:rPr>
      </w:pPr>
      <w:r w:rsidRPr="00BB7A6F">
        <w:rPr>
          <w:rFonts w:ascii="Times New Roman" w:hAnsi="Times New Roman" w:cs="Times New Roman"/>
          <w:sz w:val="24"/>
          <w:szCs w:val="28"/>
          <w:lang w:eastAsia="cs-CZ"/>
        </w:rPr>
        <w:t>operatívne riadi vlastnú distribučnú sieť a distribúciu plynu do prepojovacích bodov nadväzujúcich distribučných sietí,</w:t>
      </w:r>
    </w:p>
    <w:p w14:paraId="67A6F34F" w14:textId="77777777" w:rsidR="00B27340" w:rsidRPr="00BB7A6F" w:rsidRDefault="00B27340" w:rsidP="005F0557">
      <w:pPr>
        <w:numPr>
          <w:ilvl w:val="0"/>
          <w:numId w:val="19"/>
        </w:numPr>
        <w:spacing w:after="0" w:line="240" w:lineRule="auto"/>
        <w:ind w:left="357" w:hanging="357"/>
        <w:jc w:val="both"/>
        <w:rPr>
          <w:rFonts w:ascii="Times New Roman" w:hAnsi="Times New Roman" w:cs="Times New Roman"/>
          <w:sz w:val="24"/>
          <w:szCs w:val="28"/>
          <w:lang w:eastAsia="cs-CZ"/>
        </w:rPr>
      </w:pPr>
      <w:r w:rsidRPr="00BB7A6F">
        <w:rPr>
          <w:rFonts w:ascii="Times New Roman" w:hAnsi="Times New Roman" w:cs="Times New Roman"/>
          <w:sz w:val="24"/>
          <w:szCs w:val="28"/>
          <w:lang w:eastAsia="cs-CZ"/>
        </w:rPr>
        <w:t>riadi prepojené prepravné siete a distribučné siete na vymedzenom území pri krízovej situácii v plynárenstve a pri činnostiach, ktoré bezprostredne zamedzujú jej vzniku,</w:t>
      </w:r>
    </w:p>
    <w:p w14:paraId="0AD10986" w14:textId="77777777" w:rsidR="00B27340" w:rsidRPr="00BB7A6F" w:rsidRDefault="00B27340" w:rsidP="005F0557">
      <w:pPr>
        <w:numPr>
          <w:ilvl w:val="0"/>
          <w:numId w:val="19"/>
        </w:numPr>
        <w:spacing w:after="0" w:line="240" w:lineRule="auto"/>
        <w:ind w:left="357" w:hanging="357"/>
        <w:jc w:val="both"/>
        <w:rPr>
          <w:rFonts w:ascii="Times New Roman" w:hAnsi="Times New Roman" w:cs="Times New Roman"/>
          <w:sz w:val="24"/>
          <w:szCs w:val="28"/>
          <w:lang w:eastAsia="cs-CZ"/>
        </w:rPr>
      </w:pPr>
      <w:r w:rsidRPr="00BB7A6F">
        <w:rPr>
          <w:rFonts w:ascii="Times New Roman" w:hAnsi="Times New Roman" w:cs="Times New Roman"/>
          <w:sz w:val="24"/>
          <w:szCs w:val="28"/>
          <w:lang w:eastAsia="cs-CZ"/>
        </w:rPr>
        <w:lastRenderedPageBreak/>
        <w:t>technicky riadi rozdeľovanie zdrojov plynu vo vstupných bodoch do prepojených distribučných sietí,</w:t>
      </w:r>
    </w:p>
    <w:p w14:paraId="10671BC5" w14:textId="77777777" w:rsidR="00B27340" w:rsidRPr="00BB7A6F" w:rsidRDefault="00B27340" w:rsidP="005F0557">
      <w:pPr>
        <w:numPr>
          <w:ilvl w:val="0"/>
          <w:numId w:val="19"/>
        </w:numPr>
        <w:spacing w:after="0" w:line="240" w:lineRule="auto"/>
        <w:ind w:left="357" w:hanging="357"/>
        <w:jc w:val="both"/>
        <w:rPr>
          <w:rFonts w:ascii="Times New Roman" w:hAnsi="Times New Roman" w:cs="Times New Roman"/>
          <w:sz w:val="24"/>
          <w:szCs w:val="28"/>
          <w:lang w:eastAsia="cs-CZ"/>
        </w:rPr>
      </w:pPr>
      <w:r w:rsidRPr="00BB7A6F">
        <w:rPr>
          <w:rFonts w:ascii="Times New Roman" w:hAnsi="Times New Roman" w:cs="Times New Roman"/>
          <w:sz w:val="24"/>
          <w:szCs w:val="28"/>
          <w:lang w:eastAsia="cs-CZ"/>
        </w:rPr>
        <w:t>vyhlasuje a odvoláva krízovú situáciu v plynárenstve a jej úroveň,</w:t>
      </w:r>
    </w:p>
    <w:p w14:paraId="5EA10FFC" w14:textId="77777777" w:rsidR="00B27340" w:rsidRPr="00BB7A6F" w:rsidRDefault="00B27340" w:rsidP="005F0557">
      <w:pPr>
        <w:numPr>
          <w:ilvl w:val="0"/>
          <w:numId w:val="19"/>
        </w:numPr>
        <w:spacing w:after="0" w:line="240" w:lineRule="auto"/>
        <w:ind w:left="357" w:hanging="357"/>
        <w:jc w:val="both"/>
        <w:rPr>
          <w:rFonts w:ascii="Times New Roman" w:hAnsi="Times New Roman" w:cs="Times New Roman"/>
          <w:sz w:val="24"/>
          <w:szCs w:val="28"/>
          <w:lang w:eastAsia="cs-CZ"/>
        </w:rPr>
      </w:pPr>
      <w:r w:rsidRPr="00BB7A6F">
        <w:rPr>
          <w:rFonts w:ascii="Times New Roman" w:hAnsi="Times New Roman" w:cs="Times New Roman"/>
          <w:sz w:val="24"/>
          <w:szCs w:val="28"/>
          <w:lang w:eastAsia="cs-CZ"/>
        </w:rPr>
        <w:t>vyhlasuje a odvoláva obmedzujúce opatrenia v plynárenstve,</w:t>
      </w:r>
    </w:p>
    <w:p w14:paraId="63EF11F5" w14:textId="77777777" w:rsidR="00B27340" w:rsidRPr="00BB7A6F" w:rsidRDefault="00B27340" w:rsidP="005F0557">
      <w:pPr>
        <w:numPr>
          <w:ilvl w:val="0"/>
          <w:numId w:val="19"/>
        </w:numPr>
        <w:spacing w:after="0" w:line="240" w:lineRule="auto"/>
        <w:ind w:left="357" w:hanging="357"/>
        <w:jc w:val="both"/>
        <w:rPr>
          <w:rFonts w:ascii="Times New Roman" w:hAnsi="Times New Roman" w:cs="Times New Roman"/>
          <w:sz w:val="24"/>
          <w:szCs w:val="28"/>
          <w:lang w:eastAsia="cs-CZ"/>
        </w:rPr>
      </w:pPr>
      <w:r w:rsidRPr="00BB7A6F">
        <w:rPr>
          <w:rFonts w:ascii="Times New Roman" w:hAnsi="Times New Roman" w:cs="Times New Roman"/>
          <w:sz w:val="24"/>
          <w:szCs w:val="28"/>
          <w:lang w:eastAsia="cs-CZ"/>
        </w:rPr>
        <w:t>určuje opatrenia zamerané na odstránenie krízovej situácie v plynárenstve,</w:t>
      </w:r>
    </w:p>
    <w:p w14:paraId="6590D4EB" w14:textId="77777777" w:rsidR="00B27340" w:rsidRPr="00BB7A6F" w:rsidRDefault="00B27340" w:rsidP="005F0557">
      <w:pPr>
        <w:numPr>
          <w:ilvl w:val="0"/>
          <w:numId w:val="19"/>
        </w:numPr>
        <w:spacing w:after="0" w:line="240" w:lineRule="auto"/>
        <w:ind w:left="357" w:hanging="357"/>
        <w:jc w:val="both"/>
        <w:rPr>
          <w:rFonts w:ascii="Times New Roman" w:hAnsi="Times New Roman" w:cs="Times New Roman"/>
          <w:sz w:val="24"/>
          <w:szCs w:val="28"/>
          <w:lang w:eastAsia="cs-CZ"/>
        </w:rPr>
      </w:pPr>
      <w:r w:rsidRPr="00BB7A6F">
        <w:rPr>
          <w:rFonts w:ascii="Times New Roman" w:hAnsi="Times New Roman" w:cs="Times New Roman"/>
          <w:sz w:val="24"/>
          <w:szCs w:val="28"/>
          <w:lang w:eastAsia="cs-CZ"/>
        </w:rPr>
        <w:t>predkladá raz týždenne v období od 1. novembra do 31. marca a v prípade krízovej situácie denne ministerstvu za každý deň výpočet kapacity ostatnej infraštruktúry pre prípad prerušenia samostatnej najväčšej plynárenskej infraštruktúry, vrátane výpočtu pri zohľadnení vhodných trhových opatrení na strane spotreby.</w:t>
      </w:r>
    </w:p>
    <w:p w14:paraId="00453150" w14:textId="77777777" w:rsidR="00B27340" w:rsidRPr="00BB7A6F" w:rsidRDefault="00B27340" w:rsidP="00B27340">
      <w:pPr>
        <w:tabs>
          <w:tab w:val="right" w:pos="720"/>
        </w:tabs>
        <w:jc w:val="both"/>
        <w:rPr>
          <w:rFonts w:ascii="Times New Roman" w:hAnsi="Times New Roman" w:cs="Times New Roman"/>
          <w:sz w:val="24"/>
          <w:szCs w:val="28"/>
          <w:lang w:eastAsia="cs-CZ"/>
        </w:rPr>
      </w:pPr>
    </w:p>
    <w:p w14:paraId="798179CA" w14:textId="77777777" w:rsidR="00B27340" w:rsidRPr="00BB7A6F" w:rsidRDefault="00B27340" w:rsidP="00B27340">
      <w:pPr>
        <w:keepNext/>
        <w:jc w:val="both"/>
        <w:outlineLvl w:val="1"/>
        <w:rPr>
          <w:rFonts w:ascii="Times New Roman" w:hAnsi="Times New Roman" w:cs="Times New Roman"/>
          <w:sz w:val="24"/>
          <w:szCs w:val="28"/>
          <w:lang w:eastAsia="cs-CZ"/>
        </w:rPr>
      </w:pPr>
      <w:r w:rsidRPr="00BB7A6F">
        <w:rPr>
          <w:rFonts w:ascii="Times New Roman" w:hAnsi="Times New Roman" w:cs="Times New Roman"/>
          <w:sz w:val="24"/>
          <w:szCs w:val="28"/>
          <w:lang w:eastAsia="cs-CZ"/>
        </w:rPr>
        <w:t>Prevádzkovateľ distribučnej siete, ktorý neplní úlohy plynárenského dispečingu, môže zabezpečiť plnenie úloh dispečerského riadenia prostredníctvom už zriadeného plynárenského dispečingu prevádzkovateľa distribučnej siete, ktorý plní úlohy plynárenského dispečingu. Ak technické podmienky prevádzkovateľa takéto riešenie neumožňujú, prevádzkovateľ distribučnej siete, ktorý neplní úlohy plynárenského dispečingu, je povinný zriadiť vlastný dispečing. Takto zriadený dispečing plní na časti vymedzeného územia prevádzkovateľa distribučnej siete rovnaké úlohy ako plynárenský dispečing.</w:t>
      </w:r>
    </w:p>
    <w:p w14:paraId="28646015" w14:textId="563CE7C7"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Významnú úlohu v prípade špičkových odberov a v prípade vyrovnávania nerovnomernosti dodávok a odberov plynu zohrávajú podzemné zásobníky plynu (bližšie v bode 4), ktoré sú situované v západnej časti Slovenska, a ktoré sú využívané pre zabezpečenie plynulého zásobovania odberateľov plynom počas celého roka.</w:t>
      </w:r>
    </w:p>
    <w:p w14:paraId="3C368CCA" w14:textId="79949CD3"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Dňa 1. februára 2013 nadobudla účinnosť vyhláška Úradu pre reguláciu sieťových odvetví č. 24/2013 Z. z., ktorou sa ustanovujú pravidlá pre fungovanie vnútorného trhu s elektrinou a pravidlá pre fungovanie vnútorného trhu s plynom. Uvedený právny predpis upravuje postupy predchádzania vzniku a riešenia preťaženia prepravnej siete a distribučnej siete ako aj podmienky vyvažovania siete.</w:t>
      </w:r>
    </w:p>
    <w:p w14:paraId="50904EFA" w14:textId="771AB273" w:rsidR="00B27340" w:rsidRPr="00F27DBD" w:rsidRDefault="00F27DBD" w:rsidP="00B27340">
      <w:pPr>
        <w:jc w:val="both"/>
        <w:outlineLvl w:val="4"/>
        <w:rPr>
          <w:rFonts w:ascii="Times New Roman" w:hAnsi="Times New Roman" w:cs="Times New Roman"/>
          <w:b/>
          <w:color w:val="000000"/>
          <w:sz w:val="24"/>
          <w:szCs w:val="24"/>
        </w:rPr>
      </w:pPr>
      <w:r>
        <w:rPr>
          <w:rFonts w:ascii="Times New Roman" w:hAnsi="Times New Roman" w:cs="Times New Roman"/>
          <w:color w:val="000000"/>
          <w:sz w:val="24"/>
          <w:szCs w:val="24"/>
          <w:u w:val="single"/>
        </w:rPr>
        <w:br/>
      </w:r>
      <w:r w:rsidR="00B27340" w:rsidRPr="00F27DBD">
        <w:rPr>
          <w:rFonts w:ascii="Times New Roman" w:hAnsi="Times New Roman" w:cs="Times New Roman"/>
          <w:b/>
          <w:color w:val="000000"/>
          <w:sz w:val="24"/>
          <w:szCs w:val="24"/>
        </w:rPr>
        <w:t>Predchádzanie vzniku a riešenie preťaženia prepravnej siete</w:t>
      </w:r>
    </w:p>
    <w:p w14:paraId="713912AD" w14:textId="1B07036A"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Ak súčet požadovaných prepravných kapacít je vyšší ako technická kapacita pre príslušný vstupný bod alebo výstupný bod prepravnej siete, dochádza k preťaženiu prepravnej siete.</w:t>
      </w:r>
    </w:p>
    <w:p w14:paraId="338E7583" w14:textId="55DBC191" w:rsidR="00B27340" w:rsidRPr="00BB7A6F" w:rsidRDefault="00B8646A"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Prevádzkovateľ prepravnej siete predchádza preťaženiu prepravnej siete:</w:t>
      </w:r>
    </w:p>
    <w:p w14:paraId="7B3EE3C6" w14:textId="77777777" w:rsidR="00B27340" w:rsidRPr="00BB7A6F" w:rsidRDefault="00B27340" w:rsidP="005F0557">
      <w:pPr>
        <w:numPr>
          <w:ilvl w:val="0"/>
          <w:numId w:val="19"/>
        </w:numPr>
        <w:tabs>
          <w:tab w:val="num" w:pos="284"/>
        </w:tabs>
        <w:spacing w:after="0" w:line="240" w:lineRule="auto"/>
        <w:ind w:left="284" w:hanging="284"/>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vyhodnocovaním žiadostí o prístup do prepravnej siete a následným obmedzením prístupu poskytovania prepravnej kapacity v prepravnej sieti v súlade s podmienkami prevádzkovateľa prepravnej siete uvedenými v prevádzkovom poriadku prevádzkovateľa prepravnej siete,</w:t>
      </w:r>
    </w:p>
    <w:p w14:paraId="36B5242F" w14:textId="77777777" w:rsidR="00B27340" w:rsidRPr="00BB7A6F" w:rsidRDefault="00B27340" w:rsidP="005F0557">
      <w:pPr>
        <w:numPr>
          <w:ilvl w:val="0"/>
          <w:numId w:val="19"/>
        </w:numPr>
        <w:tabs>
          <w:tab w:val="num" w:pos="284"/>
        </w:tabs>
        <w:spacing w:after="0" w:line="240" w:lineRule="auto"/>
        <w:ind w:left="284" w:hanging="284"/>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nomináciou prepravy plynu v rámci dohodnutej a dostupnej prepravnej kapacity,</w:t>
      </w:r>
    </w:p>
    <w:p w14:paraId="5E39DF49" w14:textId="77777777" w:rsidR="00B27340" w:rsidRPr="00BB7A6F" w:rsidRDefault="00B27340" w:rsidP="005F0557">
      <w:pPr>
        <w:numPr>
          <w:ilvl w:val="0"/>
          <w:numId w:val="19"/>
        </w:numPr>
        <w:tabs>
          <w:tab w:val="num" w:pos="284"/>
        </w:tabs>
        <w:spacing w:after="0" w:line="240" w:lineRule="auto"/>
        <w:ind w:left="284" w:hanging="284"/>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možnosťou účastníka trhu s plynom poskytnúť svoju nevyužitú voľnú prepravnú kapacitu inému účastníkovi trhu s plynom.</w:t>
      </w:r>
    </w:p>
    <w:p w14:paraId="14A247FF"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lastRenderedPageBreak/>
        <w:t>Nedostatok voľnej prepravnej kapacity v prepravnej sieti rieši prevádzkovateľ prepravnej siete uzatvorením zmluvy o preprave plynu s prerušiteľnou prepravnou kapacitou s účastníkom trhu s plynom.</w:t>
      </w:r>
    </w:p>
    <w:p w14:paraId="7A884586" w14:textId="3506D8C0" w:rsidR="00B27340" w:rsidRPr="00F27DBD" w:rsidRDefault="00F27DBD" w:rsidP="00B27340">
      <w:pPr>
        <w:jc w:val="both"/>
        <w:outlineLvl w:val="4"/>
        <w:rPr>
          <w:rFonts w:ascii="Times New Roman" w:hAnsi="Times New Roman" w:cs="Times New Roman"/>
          <w:b/>
          <w:color w:val="000000"/>
          <w:sz w:val="24"/>
          <w:szCs w:val="24"/>
        </w:rPr>
      </w:pPr>
      <w:r>
        <w:rPr>
          <w:rFonts w:ascii="Times New Roman" w:hAnsi="Times New Roman" w:cs="Times New Roman"/>
          <w:color w:val="000000"/>
          <w:sz w:val="24"/>
          <w:szCs w:val="24"/>
          <w:u w:val="single"/>
        </w:rPr>
        <w:br/>
      </w:r>
      <w:r w:rsidR="00B27340" w:rsidRPr="00F27DBD">
        <w:rPr>
          <w:rFonts w:ascii="Times New Roman" w:hAnsi="Times New Roman" w:cs="Times New Roman"/>
          <w:b/>
          <w:color w:val="000000"/>
          <w:sz w:val="24"/>
          <w:szCs w:val="24"/>
        </w:rPr>
        <w:t>Predchádzanie vzniku a riešenie preťaženia distribučnej siete</w:t>
      </w:r>
    </w:p>
    <w:p w14:paraId="2731A245" w14:textId="7BB4500E" w:rsidR="00B27340" w:rsidRPr="00BB7A6F" w:rsidRDefault="00F27DBD" w:rsidP="00B27340">
      <w:pPr>
        <w:jc w:val="both"/>
        <w:rPr>
          <w:rFonts w:ascii="Times New Roman" w:hAnsi="Times New Roman" w:cs="Times New Roman"/>
          <w:color w:val="000000"/>
          <w:sz w:val="24"/>
          <w:szCs w:val="24"/>
          <w:lang w:eastAsia="cs-CZ"/>
        </w:rPr>
      </w:pPr>
      <w:r>
        <w:rPr>
          <w:rFonts w:ascii="Times New Roman" w:hAnsi="Times New Roman" w:cs="Times New Roman"/>
          <w:color w:val="000000"/>
          <w:sz w:val="24"/>
          <w:szCs w:val="24"/>
          <w:lang w:eastAsia="cs-CZ"/>
        </w:rPr>
        <w:br/>
      </w:r>
      <w:r w:rsidR="00B27340" w:rsidRPr="00BB7A6F">
        <w:rPr>
          <w:rFonts w:ascii="Times New Roman" w:hAnsi="Times New Roman" w:cs="Times New Roman"/>
          <w:color w:val="000000"/>
          <w:sz w:val="24"/>
          <w:szCs w:val="24"/>
          <w:lang w:eastAsia="cs-CZ"/>
        </w:rPr>
        <w:t>Ak súčet požadovaných distribučných kapacít je vyšší ako technická kapacita distribučnej siete, dochádza k preťaženiu distribučnej siete.</w:t>
      </w:r>
    </w:p>
    <w:p w14:paraId="2B376480" w14:textId="62B60395" w:rsidR="00B27340" w:rsidRPr="00BB7A6F" w:rsidRDefault="00F27DBD" w:rsidP="00B27340">
      <w:pPr>
        <w:jc w:val="both"/>
        <w:rPr>
          <w:rFonts w:ascii="Times New Roman" w:hAnsi="Times New Roman" w:cs="Times New Roman"/>
          <w:color w:val="000000"/>
          <w:sz w:val="24"/>
          <w:szCs w:val="24"/>
          <w:lang w:eastAsia="cs-CZ"/>
        </w:rPr>
      </w:pPr>
      <w:r>
        <w:rPr>
          <w:rFonts w:ascii="Times New Roman" w:hAnsi="Times New Roman" w:cs="Times New Roman"/>
          <w:color w:val="000000"/>
          <w:sz w:val="24"/>
          <w:szCs w:val="24"/>
          <w:lang w:eastAsia="cs-CZ"/>
        </w:rPr>
        <w:br/>
      </w:r>
      <w:r w:rsidR="00B27340" w:rsidRPr="00BB7A6F">
        <w:rPr>
          <w:rFonts w:ascii="Times New Roman" w:hAnsi="Times New Roman" w:cs="Times New Roman"/>
          <w:color w:val="000000"/>
          <w:sz w:val="24"/>
          <w:szCs w:val="24"/>
          <w:lang w:eastAsia="cs-CZ"/>
        </w:rPr>
        <w:t>Prevádzkovateľ distribučnej siete predchádza vzniku preťaženia distribučnej siete vyhodnocovaním žiadostí o prístup do distribučnej siete a následným obmedzením prístupu poskytovania distribučnej kapacity v distribučnej sieti v súlade s podmienkami prevádzkovateľa distribučnej siete uvedenými v prevádzkovom poriadku prevádzkovateľa distribučnej siete, požiadavkami na predlžovanie existujúcich zmlúv o prístupe do distribučnej siete a distribúcii plynu bez zvýšenia dohodnutej distribučnej kapacity a požiadavkami odberateľov plynu v domácnosti.</w:t>
      </w:r>
    </w:p>
    <w:p w14:paraId="22D74E77" w14:textId="6A9DA839" w:rsidR="00B27340" w:rsidRPr="00BB7A6F" w:rsidRDefault="00B8646A" w:rsidP="00B27340">
      <w:pPr>
        <w:jc w:val="both"/>
        <w:rPr>
          <w:rFonts w:ascii="Times New Roman" w:hAnsi="Times New Roman" w:cs="Times New Roman"/>
          <w:color w:val="000000"/>
          <w:sz w:val="24"/>
          <w:szCs w:val="24"/>
          <w:lang w:eastAsia="cs-CZ"/>
        </w:rPr>
      </w:pPr>
      <w:r>
        <w:rPr>
          <w:rFonts w:ascii="Times New Roman" w:hAnsi="Times New Roman" w:cs="Times New Roman"/>
          <w:color w:val="000000"/>
          <w:sz w:val="24"/>
          <w:szCs w:val="24"/>
          <w:lang w:eastAsia="cs-CZ"/>
        </w:rPr>
        <w:br/>
      </w:r>
      <w:r w:rsidR="00B27340" w:rsidRPr="00BB7A6F">
        <w:rPr>
          <w:rFonts w:ascii="Times New Roman" w:hAnsi="Times New Roman" w:cs="Times New Roman"/>
          <w:color w:val="000000"/>
          <w:sz w:val="24"/>
          <w:szCs w:val="24"/>
          <w:lang w:eastAsia="cs-CZ"/>
        </w:rPr>
        <w:t>Ak súčet požadovaných distribučných kapacít je vyšší ako technická kapacita distribučnej siete, prevádzkovateľ distribučnej siete vyzve účastníkov trhu s plynom na úpravu výšky nimi požadovanej kapacity v žiadosti o prístup do distribučnej siete.</w:t>
      </w:r>
    </w:p>
    <w:p w14:paraId="38E9F350" w14:textId="77777777" w:rsidR="00B27340" w:rsidRPr="00BB7A6F" w:rsidRDefault="00B27340" w:rsidP="00B27340">
      <w:pPr>
        <w:jc w:val="both"/>
        <w:rPr>
          <w:rFonts w:ascii="Times New Roman" w:hAnsi="Times New Roman" w:cs="Times New Roman"/>
          <w:color w:val="000000"/>
          <w:sz w:val="24"/>
          <w:szCs w:val="24"/>
          <w:lang w:eastAsia="cs-CZ"/>
        </w:rPr>
      </w:pPr>
      <w:r w:rsidRPr="00BB7A6F">
        <w:rPr>
          <w:rFonts w:ascii="Times New Roman" w:hAnsi="Times New Roman" w:cs="Times New Roman"/>
          <w:color w:val="000000"/>
          <w:sz w:val="24"/>
          <w:szCs w:val="24"/>
          <w:lang w:eastAsia="cs-CZ"/>
        </w:rPr>
        <w:t>Ak súčet požadovaných distribučných kapacít v žiadostiach o prístup do distribučnej siete bude stále vyšší ako technická kapacita distribučnej siete, rozdelí prevádzkovateľ distribučnej siete zostávajúcu voľnú distribučnú kapacitu nediskriminačne v pomere veľkosti jednotlivých požiadaviek s tým, že ak požiadavka žiadateľa presahuje výšku zostávajúcej voľnej kapacity, je táto požiadavka pred rozdelením znížená na výšku zostávajúcej voľnej kapacity.</w:t>
      </w:r>
    </w:p>
    <w:p w14:paraId="3EE524E6" w14:textId="13141713" w:rsidR="00B27340" w:rsidRPr="00F27DBD" w:rsidRDefault="00B8646A" w:rsidP="00B27340">
      <w:pPr>
        <w:jc w:val="both"/>
        <w:outlineLvl w:val="4"/>
        <w:rPr>
          <w:rFonts w:ascii="Times New Roman" w:hAnsi="Times New Roman" w:cs="Times New Roman"/>
          <w:b/>
          <w:color w:val="000000"/>
          <w:sz w:val="24"/>
          <w:szCs w:val="24"/>
        </w:rPr>
      </w:pPr>
      <w:r>
        <w:rPr>
          <w:rFonts w:ascii="Times New Roman" w:hAnsi="Times New Roman" w:cs="Times New Roman"/>
          <w:b/>
          <w:color w:val="000000"/>
          <w:sz w:val="24"/>
          <w:szCs w:val="24"/>
        </w:rPr>
        <w:br/>
      </w:r>
      <w:r w:rsidR="00B27340" w:rsidRPr="00F27DBD">
        <w:rPr>
          <w:rFonts w:ascii="Times New Roman" w:hAnsi="Times New Roman" w:cs="Times New Roman"/>
          <w:b/>
          <w:color w:val="000000"/>
          <w:sz w:val="24"/>
          <w:szCs w:val="24"/>
        </w:rPr>
        <w:t>Vyvažovanie siete</w:t>
      </w:r>
    </w:p>
    <w:p w14:paraId="6ABE6623" w14:textId="77777777" w:rsidR="00B27340" w:rsidRPr="00BB7A6F" w:rsidRDefault="00B27340" w:rsidP="00B27340">
      <w:pPr>
        <w:jc w:val="both"/>
        <w:rPr>
          <w:rFonts w:ascii="Times New Roman" w:hAnsi="Times New Roman" w:cs="Times New Roman"/>
          <w:color w:val="000000"/>
          <w:sz w:val="24"/>
          <w:szCs w:val="24"/>
          <w:lang w:eastAsia="cs-CZ"/>
        </w:rPr>
      </w:pPr>
      <w:r w:rsidRPr="00BB7A6F">
        <w:rPr>
          <w:rFonts w:ascii="Times New Roman" w:hAnsi="Times New Roman" w:cs="Times New Roman"/>
          <w:color w:val="000000"/>
          <w:sz w:val="24"/>
          <w:szCs w:val="24"/>
          <w:lang w:eastAsia="cs-CZ"/>
        </w:rPr>
        <w:t xml:space="preserve">Vyvažovaním siete je: </w:t>
      </w:r>
    </w:p>
    <w:p w14:paraId="25613ED5" w14:textId="77777777" w:rsidR="00B27340" w:rsidRPr="00BB7A6F" w:rsidRDefault="00B27340" w:rsidP="005F0557">
      <w:pPr>
        <w:numPr>
          <w:ilvl w:val="0"/>
          <w:numId w:val="19"/>
        </w:numPr>
        <w:tabs>
          <w:tab w:val="num" w:pos="284"/>
        </w:tabs>
        <w:spacing w:after="0" w:line="240" w:lineRule="auto"/>
        <w:ind w:left="284" w:hanging="284"/>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fyzické vyvažovanie, ktoré predstavuje súbor činností, ktorými prevádzkovateľ siete riadi prevádzku siete na vymedzenom území v reálnom čase tak, aby v každom okamihu zabezpečil dopravu plynu zo vstupných bodov siete na vymedzenom území do výstupných bodov siete a aby sa sieť na vymedzenom území prevádzkovala správne, bezpečne a nediskriminačne pre všetkých účastníkov trhu s plynom a náklady na prevádzku sa spravodlivo priraďovali jednotlivým účastníkom trhu s plynom,</w:t>
      </w:r>
    </w:p>
    <w:p w14:paraId="1EB43D5C" w14:textId="77777777" w:rsidR="00B27340" w:rsidRPr="00BB7A6F" w:rsidRDefault="00B27340" w:rsidP="005F0557">
      <w:pPr>
        <w:numPr>
          <w:ilvl w:val="0"/>
          <w:numId w:val="19"/>
        </w:numPr>
        <w:tabs>
          <w:tab w:val="num" w:pos="284"/>
        </w:tabs>
        <w:spacing w:after="0" w:line="240" w:lineRule="auto"/>
        <w:ind w:left="284" w:hanging="284"/>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obchodné vyvažovanie, ktoré predstavuje dodržiavanie rovnováhy medzi množstvom plynu vstupujúcim do siete pre účastníka trhu s plynom a množstvom plynu odoberaným zo siete účastníkom trhu s plynom, pričom nedodržanie rovnováhy a odchýlka sa spoplatňuje; obchodným vyvažovaním sa zabezpečuje podpora prevádzkovateľa siete pri fyzickom vyvažovaní siete.</w:t>
      </w:r>
    </w:p>
    <w:p w14:paraId="03A2ACF2" w14:textId="77777777" w:rsidR="00B27340" w:rsidRPr="00BB7A6F" w:rsidRDefault="00B27340" w:rsidP="00B27340">
      <w:pPr>
        <w:jc w:val="both"/>
        <w:rPr>
          <w:rFonts w:ascii="Times New Roman" w:hAnsi="Times New Roman" w:cs="Times New Roman"/>
          <w:color w:val="000000"/>
          <w:sz w:val="24"/>
          <w:szCs w:val="24"/>
          <w:lang w:eastAsia="cs-CZ"/>
        </w:rPr>
      </w:pPr>
    </w:p>
    <w:p w14:paraId="12D16E13" w14:textId="77777777" w:rsidR="00B27340" w:rsidRPr="00BB7A6F" w:rsidRDefault="00B27340" w:rsidP="00B27340">
      <w:pPr>
        <w:jc w:val="both"/>
        <w:rPr>
          <w:rFonts w:ascii="Times New Roman" w:hAnsi="Times New Roman" w:cs="Times New Roman"/>
          <w:color w:val="000000"/>
          <w:sz w:val="24"/>
          <w:szCs w:val="24"/>
          <w:lang w:eastAsia="cs-CZ"/>
        </w:rPr>
      </w:pPr>
      <w:r w:rsidRPr="00BB7A6F">
        <w:rPr>
          <w:rFonts w:ascii="Times New Roman" w:hAnsi="Times New Roman" w:cs="Times New Roman"/>
          <w:color w:val="000000"/>
          <w:sz w:val="24"/>
          <w:szCs w:val="24"/>
          <w:lang w:eastAsia="cs-CZ"/>
        </w:rPr>
        <w:lastRenderedPageBreak/>
        <w:t>Za fyzické vyvažovanie siete zodpovedá prevádzkovateľ siete. Obchodné vyvažovanie siete a zúčtovanie odchýlok vykonáva prevádzkovateľ siete. Užívateľovi distribučnej siete vykonáva obchodné vyvažovanie a zúčtovania odchýlok prevádzkovateľ distribučnej siete. Vyrovnávanie odchýlok, ktoré vzniknú v distribučnej sieti, sa umožní fyzickou dodávkou plynu alebo finančným vyrovnaním na základe žiadosti užívateľa distribučnej siete prevádzkovateľom distribučnej siete.</w:t>
      </w:r>
    </w:p>
    <w:p w14:paraId="348D9C27" w14:textId="5B72CAB9" w:rsidR="00B27340" w:rsidRPr="00BB7A6F" w:rsidRDefault="00F27DBD" w:rsidP="00B27340">
      <w:pPr>
        <w:jc w:val="both"/>
        <w:rPr>
          <w:rFonts w:ascii="Times New Roman" w:hAnsi="Times New Roman" w:cs="Times New Roman"/>
          <w:color w:val="000000"/>
          <w:sz w:val="24"/>
          <w:szCs w:val="24"/>
          <w:lang w:eastAsia="cs-CZ"/>
        </w:rPr>
      </w:pPr>
      <w:r>
        <w:rPr>
          <w:rFonts w:ascii="Times New Roman" w:hAnsi="Times New Roman" w:cs="Times New Roman"/>
          <w:color w:val="000000"/>
          <w:sz w:val="24"/>
          <w:szCs w:val="24"/>
          <w:lang w:eastAsia="cs-CZ"/>
        </w:rPr>
        <w:br/>
      </w:r>
      <w:r w:rsidR="00B27340" w:rsidRPr="00BB7A6F">
        <w:rPr>
          <w:rFonts w:ascii="Times New Roman" w:hAnsi="Times New Roman" w:cs="Times New Roman"/>
          <w:color w:val="000000"/>
          <w:sz w:val="24"/>
          <w:szCs w:val="24"/>
          <w:lang w:eastAsia="cs-CZ"/>
        </w:rPr>
        <w:t>Užívateľ distribučnej siete, ktorý má uzatvorenú zmluvu s prevádzkovateľom siete, zodpovedá za odchýlku.</w:t>
      </w:r>
    </w:p>
    <w:p w14:paraId="6AA50423" w14:textId="65327301" w:rsidR="00B27340" w:rsidRPr="00BB7A6F" w:rsidRDefault="00F27DBD" w:rsidP="00B27340">
      <w:pPr>
        <w:jc w:val="both"/>
        <w:rPr>
          <w:rFonts w:ascii="Times New Roman" w:hAnsi="Times New Roman" w:cs="Times New Roman"/>
          <w:color w:val="000000"/>
          <w:sz w:val="24"/>
          <w:szCs w:val="24"/>
          <w:lang w:eastAsia="cs-CZ"/>
        </w:rPr>
      </w:pPr>
      <w:r>
        <w:rPr>
          <w:rFonts w:ascii="Times New Roman" w:hAnsi="Times New Roman" w:cs="Times New Roman"/>
          <w:color w:val="000000"/>
          <w:sz w:val="24"/>
          <w:szCs w:val="24"/>
          <w:lang w:eastAsia="cs-CZ"/>
        </w:rPr>
        <w:br/>
      </w:r>
      <w:r w:rsidR="00B27340" w:rsidRPr="00BB7A6F">
        <w:rPr>
          <w:rFonts w:ascii="Times New Roman" w:hAnsi="Times New Roman" w:cs="Times New Roman"/>
          <w:color w:val="000000"/>
          <w:sz w:val="24"/>
          <w:szCs w:val="24"/>
          <w:lang w:eastAsia="cs-CZ"/>
        </w:rPr>
        <w:t>Užívateľ distribučnej siete môže svoju zodpovednosť za odchýlku vrátane všetkých s tým spojených finančných záväzkov zmluvne preniesť na iného užívateľa distribučnej siete v súlade s podmienkami prevádzkovateľa siete uvedenými v prevádzkovom poriadku prevádzkovateľa siete. Užívateľ distribučnej siete, na ktorého bola prenesená zodpovednosť za odchýlku, oznámi postúpenie zodpovednosti prevádzkovateľovi distribučnej siete do troch dní pred začiatkom plynárenského dňa, v ktorom je odchýlka postúpená.</w:t>
      </w:r>
    </w:p>
    <w:p w14:paraId="303B420C" w14:textId="5780E86A" w:rsidR="00B27340" w:rsidRPr="00BB7A6F" w:rsidRDefault="00F27DBD" w:rsidP="00B27340">
      <w:pPr>
        <w:jc w:val="both"/>
        <w:rPr>
          <w:rFonts w:ascii="Times New Roman" w:hAnsi="Times New Roman" w:cs="Times New Roman"/>
          <w:color w:val="000000"/>
          <w:sz w:val="24"/>
          <w:szCs w:val="24"/>
          <w:lang w:eastAsia="cs-CZ"/>
        </w:rPr>
      </w:pPr>
      <w:r>
        <w:rPr>
          <w:rFonts w:ascii="Times New Roman" w:hAnsi="Times New Roman" w:cs="Times New Roman"/>
          <w:color w:val="000000"/>
          <w:sz w:val="24"/>
          <w:szCs w:val="24"/>
          <w:lang w:eastAsia="cs-CZ"/>
        </w:rPr>
        <w:br/>
      </w:r>
      <w:r w:rsidR="00B27340" w:rsidRPr="00BB7A6F">
        <w:rPr>
          <w:rFonts w:ascii="Times New Roman" w:hAnsi="Times New Roman" w:cs="Times New Roman"/>
          <w:color w:val="000000"/>
          <w:sz w:val="24"/>
          <w:szCs w:val="24"/>
          <w:lang w:eastAsia="cs-CZ"/>
        </w:rPr>
        <w:t>Výrobca plynu môže svoju zodpovednosť za odchýlku vrátane všetkých s tým spojených finančných záväzkov zmluvne preniesť na svojho odberateľa plynu v súlade s podmienkami prevádzkovateľa siete uvedenými v prevádzkovom poriadku prevádzkovateľa siete. Výrobca plynu a odberateľ plynu oznámia postúpenie zodpovednosti prevádzkovateľovi distribučnej siete do desiatich dní pred začiatkom plynárenského dňa, v ktorom je odchýlka postúpená.</w:t>
      </w:r>
    </w:p>
    <w:p w14:paraId="7520FAAB" w14:textId="14ADA8D3"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proofErr w:type="spellStart"/>
      <w:r w:rsidR="00B27340" w:rsidRPr="00BB7A6F">
        <w:rPr>
          <w:rFonts w:ascii="Times New Roman" w:hAnsi="Times New Roman" w:cs="Times New Roman"/>
          <w:sz w:val="24"/>
          <w:szCs w:val="24"/>
          <w:lang w:eastAsia="cs-CZ"/>
        </w:rPr>
        <w:t>Vyvažovacia</w:t>
      </w:r>
      <w:proofErr w:type="spellEnd"/>
      <w:r w:rsidR="00B27340" w:rsidRPr="00BB7A6F">
        <w:rPr>
          <w:rFonts w:ascii="Times New Roman" w:hAnsi="Times New Roman" w:cs="Times New Roman"/>
          <w:sz w:val="24"/>
          <w:szCs w:val="24"/>
          <w:lang w:eastAsia="cs-CZ"/>
        </w:rPr>
        <w:t xml:space="preserve"> zóna je oblasť daná vymedzeným územím prevádzkovateľa siete. Slovenská republika je </w:t>
      </w:r>
      <w:proofErr w:type="spellStart"/>
      <w:r w:rsidR="00B27340" w:rsidRPr="00BB7A6F">
        <w:rPr>
          <w:rFonts w:ascii="Times New Roman" w:hAnsi="Times New Roman" w:cs="Times New Roman"/>
          <w:sz w:val="24"/>
          <w:szCs w:val="24"/>
          <w:lang w:eastAsia="cs-CZ"/>
        </w:rPr>
        <w:t>vyvažovacou</w:t>
      </w:r>
      <w:proofErr w:type="spellEnd"/>
      <w:r w:rsidR="00B27340" w:rsidRPr="00BB7A6F">
        <w:rPr>
          <w:rFonts w:ascii="Times New Roman" w:hAnsi="Times New Roman" w:cs="Times New Roman"/>
          <w:sz w:val="24"/>
          <w:szCs w:val="24"/>
          <w:lang w:eastAsia="cs-CZ"/>
        </w:rPr>
        <w:t xml:space="preserve"> zónou prepravnej siete a </w:t>
      </w:r>
      <w:proofErr w:type="spellStart"/>
      <w:r w:rsidR="00B27340" w:rsidRPr="00BB7A6F">
        <w:rPr>
          <w:rFonts w:ascii="Times New Roman" w:hAnsi="Times New Roman" w:cs="Times New Roman"/>
          <w:sz w:val="24"/>
          <w:szCs w:val="24"/>
          <w:lang w:eastAsia="cs-CZ"/>
        </w:rPr>
        <w:t>vyvažovacou</w:t>
      </w:r>
      <w:proofErr w:type="spellEnd"/>
      <w:r w:rsidR="00B27340" w:rsidRPr="00BB7A6F">
        <w:rPr>
          <w:rFonts w:ascii="Times New Roman" w:hAnsi="Times New Roman" w:cs="Times New Roman"/>
          <w:sz w:val="24"/>
          <w:szCs w:val="24"/>
          <w:lang w:eastAsia="cs-CZ"/>
        </w:rPr>
        <w:t xml:space="preserve"> zónou distribučnej siete z hľadiska fyzického vyvažovania a jednou </w:t>
      </w:r>
      <w:proofErr w:type="spellStart"/>
      <w:r w:rsidR="00B27340" w:rsidRPr="00BB7A6F">
        <w:rPr>
          <w:rFonts w:ascii="Times New Roman" w:hAnsi="Times New Roman" w:cs="Times New Roman"/>
          <w:sz w:val="24"/>
          <w:szCs w:val="24"/>
          <w:lang w:eastAsia="cs-CZ"/>
        </w:rPr>
        <w:t>vyvažovacou</w:t>
      </w:r>
      <w:proofErr w:type="spellEnd"/>
      <w:r w:rsidR="00B27340" w:rsidRPr="00BB7A6F">
        <w:rPr>
          <w:rFonts w:ascii="Times New Roman" w:hAnsi="Times New Roman" w:cs="Times New Roman"/>
          <w:sz w:val="24"/>
          <w:szCs w:val="24"/>
          <w:lang w:eastAsia="cs-CZ"/>
        </w:rPr>
        <w:t xml:space="preserve"> zónou z hľadiska užívateľa distribučnej siete.</w:t>
      </w:r>
    </w:p>
    <w:p w14:paraId="0535DB7F" w14:textId="4F701CA0" w:rsidR="00B27340" w:rsidRPr="00BB7A6F" w:rsidRDefault="00F27DBD" w:rsidP="00B27340">
      <w:pPr>
        <w:jc w:val="both"/>
        <w:rPr>
          <w:rFonts w:ascii="Times New Roman" w:hAnsi="Times New Roman" w:cs="Times New Roman"/>
          <w:sz w:val="24"/>
          <w:szCs w:val="24"/>
          <w:lang w:eastAsia="cs-CZ"/>
        </w:rPr>
      </w:pPr>
      <w:r w:rsidRPr="00F27DBD">
        <w:rPr>
          <w:rFonts w:ascii="Times New Roman" w:hAnsi="Times New Roman" w:cs="Times New Roman"/>
          <w:sz w:val="20"/>
          <w:szCs w:val="20"/>
          <w:lang w:eastAsia="cs-CZ"/>
        </w:rPr>
        <w:br/>
      </w:r>
      <w:r w:rsidR="00B27340" w:rsidRPr="00BB7A6F">
        <w:rPr>
          <w:rFonts w:ascii="Times New Roman" w:hAnsi="Times New Roman" w:cs="Times New Roman"/>
          <w:sz w:val="24"/>
          <w:szCs w:val="24"/>
          <w:lang w:eastAsia="cs-CZ"/>
        </w:rPr>
        <w:t>Prevádzkovateľ distribučnej siete a prevádzkovateľ prepravnej siete zabezpečia prepojiteľnosť distribučnej siete a prepravnej siete a odovzdávanie údajov potrebných na vyvažovanie siete.</w:t>
      </w:r>
    </w:p>
    <w:p w14:paraId="68AD6E7E" w14:textId="186FD0E5"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Užívateľ prepravnej siete si dohodne s prevádzkovateľom prepravnej siete podmienky obchodného vyvažovania siete a spôsob vyrovnania nerovnováhy medzi jeho množstvom plynu vstupujúcim do prepravnej siete a jeho množstvom plynu odoberaným z prepravnej siete.</w:t>
      </w:r>
    </w:p>
    <w:p w14:paraId="7A414983" w14:textId="3457694F"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Účastník trhu s plynom, ktorý prevádzkuje distribučnú sieť a je pripojený k prepravnej sieti, si dohodne podmienky obchodného vyvažovania siete s prevádzkovateľom distribučnej siete, ktorý je povinný plniť úlohy plynárenského dispečingu na vymedzenom území.</w:t>
      </w:r>
    </w:p>
    <w:p w14:paraId="729AA7F1" w14:textId="076121B9"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 xml:space="preserve">Prevádzkovateľ distribučnej siete zodpovedá za fyzické vyvažovanie siete a zúčtovanie odchýlok na vymedzenom území. Ak je na vymedzenom území viac prevádzkovateľov distribučnej siete, za </w:t>
      </w:r>
      <w:r w:rsidR="00B27340" w:rsidRPr="00BB7A6F">
        <w:rPr>
          <w:rFonts w:ascii="Times New Roman" w:hAnsi="Times New Roman" w:cs="Times New Roman"/>
          <w:sz w:val="24"/>
          <w:szCs w:val="24"/>
          <w:lang w:eastAsia="cs-CZ"/>
        </w:rPr>
        <w:lastRenderedPageBreak/>
        <w:t>vyvažovanie siete je zodpovedný prevádzkovateľ distribučnej siete, ktorý plní úlohy plynárenského dispečingu na vymedzenom území. Ostatní prevádzkovatelia distribučnej siete uzatvoria dohodu s prevádzkovateľom distribučnej siete, ktorý plní úlohy plynárenského dispečingu na vymedzenom území, na základe ktorej sa zabezpečí prepojiteľnosť distribučných sietí a odovzdávanie údajov potrebných na vyvažovanie siete.</w:t>
      </w:r>
    </w:p>
    <w:p w14:paraId="3229C130" w14:textId="77777777" w:rsidR="00B27340" w:rsidRPr="00BB7A6F" w:rsidRDefault="00B27340" w:rsidP="00B27340">
      <w:pPr>
        <w:jc w:val="both"/>
        <w:rPr>
          <w:rFonts w:ascii="Times New Roman" w:hAnsi="Times New Roman" w:cs="Times New Roman"/>
          <w:sz w:val="24"/>
          <w:szCs w:val="24"/>
          <w:lang w:eastAsia="cs-CZ"/>
        </w:rPr>
      </w:pPr>
    </w:p>
    <w:p w14:paraId="06E512DA"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Prevádzkovateľ distribučnej siete má vyhradenú časť kapacity zásobníkov najmä na krytie denných odchýlok účastníkov trhu s plynom; náklady na túto kapacitu sa zahŕňajú do ceny za distribúciu plynu.</w:t>
      </w:r>
    </w:p>
    <w:p w14:paraId="1D10E274" w14:textId="77777777" w:rsidR="00B27340" w:rsidRPr="00BB7A6F" w:rsidRDefault="00B27340" w:rsidP="00B27340">
      <w:pPr>
        <w:jc w:val="both"/>
        <w:rPr>
          <w:rFonts w:ascii="Times New Roman" w:hAnsi="Times New Roman" w:cs="Times New Roman"/>
          <w:sz w:val="24"/>
          <w:szCs w:val="24"/>
          <w:lang w:eastAsia="cs-CZ"/>
        </w:rPr>
      </w:pPr>
    </w:p>
    <w:p w14:paraId="2BCC4AE4"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Ak vyhradená kapacita zásobníkov nie je dostatočná na fyzické vyvažovanie distribučnej siete, prevádzkovateľ distribučnej siete požiada účastníkov trhu s plynom, aby upravili množstvo vtláčaného alebo ťaženého plynu zo zásobníka až do výšky ich dohodnutej uskladňovacej kapacity. Ak toto opatrenie nepostačuje, prevádzkovateľ distribučnej siete vyzve prevádzkovateľa zásobníka, aby mu poskytol voľnú kapacitu zásobníkov potrebnú na vyvažovanie distribučnej siete za podmienok dohodnutých s prevádzkovateľom zásobníka. Ak to umožňujú technické podmienky, prevádzkovateľ zásobníka požiadavke vyhovie.</w:t>
      </w:r>
    </w:p>
    <w:p w14:paraId="614E2621" w14:textId="04C5FA0A" w:rsidR="00B27340" w:rsidRPr="00BB7A6F" w:rsidRDefault="00B8646A"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Prevádzkovateľ distribučnej siete, ktorý plní úlohy plynárenského dispečingu, eviduje náklady a výnosy spojené s vyvažovaním siete a za podporné služby podľa ich štruktúry a podľa užívateľov siete, ktorým tieto podporné služby poskytuje, oddelene od ostatných prevádzkových nákladov a zverejňuje ich na webovom sídle v súlade s podmienkami uvedenými v prevádzkovom poriadku prevádzkovateľa distribučnej siete.</w:t>
      </w:r>
    </w:p>
    <w:p w14:paraId="49273439" w14:textId="3F910D9B" w:rsidR="00B27340" w:rsidRPr="00F27DBD" w:rsidRDefault="00EB6633" w:rsidP="00B27340">
      <w:pPr>
        <w:jc w:val="both"/>
        <w:outlineLvl w:val="4"/>
        <w:rPr>
          <w:rFonts w:ascii="Times New Roman" w:hAnsi="Times New Roman" w:cs="Times New Roman"/>
          <w:b/>
          <w:color w:val="000000"/>
          <w:sz w:val="24"/>
          <w:szCs w:val="24"/>
          <w:highlight w:val="yellow"/>
        </w:rPr>
      </w:pPr>
      <w:r>
        <w:rPr>
          <w:rFonts w:ascii="Times New Roman" w:hAnsi="Times New Roman" w:cs="Times New Roman"/>
          <w:b/>
          <w:color w:val="000000"/>
          <w:sz w:val="24"/>
          <w:szCs w:val="24"/>
        </w:rPr>
        <w:br/>
      </w:r>
      <w:r w:rsidR="00B27340" w:rsidRPr="00F27DBD">
        <w:rPr>
          <w:rFonts w:ascii="Times New Roman" w:hAnsi="Times New Roman" w:cs="Times New Roman"/>
          <w:b/>
          <w:color w:val="000000"/>
          <w:sz w:val="24"/>
          <w:szCs w:val="24"/>
        </w:rPr>
        <w:t>Krízová situácia v plynárenstve</w:t>
      </w:r>
    </w:p>
    <w:p w14:paraId="4BABB760" w14:textId="3AC3C129" w:rsidR="00B27340" w:rsidRPr="00BB7A6F" w:rsidRDefault="00B27340" w:rsidP="00B27340">
      <w:pPr>
        <w:widowControl w:val="0"/>
        <w:autoSpaceDE w:val="0"/>
        <w:autoSpaceDN w:val="0"/>
        <w:adjustRightInd w:val="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Úrovne krízovej situácie v plynárenstve podľa osobitného predpisu, ktorým je nariadenie, sú:</w:t>
      </w:r>
    </w:p>
    <w:p w14:paraId="15A6C535" w14:textId="77777777" w:rsidR="00B27340" w:rsidRPr="00BB7A6F" w:rsidRDefault="00B27340" w:rsidP="00B27340">
      <w:pPr>
        <w:widowControl w:val="0"/>
        <w:autoSpaceDE w:val="0"/>
        <w:autoSpaceDN w:val="0"/>
        <w:adjustRightInd w:val="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 úroveň včasného varovania (včasné varovanie),</w:t>
      </w:r>
    </w:p>
    <w:p w14:paraId="39E82F83" w14:textId="77777777" w:rsidR="00B27340" w:rsidRPr="00BB7A6F" w:rsidRDefault="00B27340" w:rsidP="00B27340">
      <w:pPr>
        <w:widowControl w:val="0"/>
        <w:autoSpaceDE w:val="0"/>
        <w:autoSpaceDN w:val="0"/>
        <w:adjustRightInd w:val="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 úroveň pohotovosti (pohotovosť),</w:t>
      </w:r>
    </w:p>
    <w:p w14:paraId="1B738358" w14:textId="77777777" w:rsidR="00B27340" w:rsidRPr="00BB7A6F" w:rsidRDefault="00B27340" w:rsidP="00B27340">
      <w:pPr>
        <w:widowControl w:val="0"/>
        <w:autoSpaceDE w:val="0"/>
        <w:autoSpaceDN w:val="0"/>
        <w:adjustRightInd w:val="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 úroveň núdze (stav núdze).</w:t>
      </w:r>
    </w:p>
    <w:p w14:paraId="5D135F6C" w14:textId="42BDC990" w:rsidR="00B27340" w:rsidRPr="00BB7A6F" w:rsidRDefault="00B27340" w:rsidP="00B27340">
      <w:pPr>
        <w:widowControl w:val="0"/>
        <w:autoSpaceDE w:val="0"/>
        <w:autoSpaceDN w:val="0"/>
        <w:adjustRightInd w:val="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Krízovú situáciu v plynárenstve a jej úroveň na vymedzenom území alebo na časti vymedzeného územia vyhlasuje a odvoláva prevádzkovateľ distribučnej siete, ktorý na základe rozhodnutia ministerstva plní úlohy plynárenského dispečingu na vymedzenom území, vo verejnoprávnych hromadných oznamovacích prostriedkoch a pomocou prostriedkov dispečerského riadenia.</w:t>
      </w:r>
    </w:p>
    <w:p w14:paraId="07BD55E5" w14:textId="0F36667F" w:rsidR="00B27340" w:rsidRPr="00BB7A6F" w:rsidRDefault="00F27DBD"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 xml:space="preserve">Legislatívne opatrenia prijaté na základe vyhodnotenia príčin a dôsledkov plynovej krízy v roku 2009 znamenali zákonné zavedenie povinnosti zabezpečenia štandardu bezpečnosti dodávok plynu </w:t>
      </w:r>
      <w:r w:rsidR="00B27340" w:rsidRPr="00BB7A6F">
        <w:rPr>
          <w:rFonts w:ascii="Times New Roman" w:hAnsi="Times New Roman" w:cs="Times New Roman"/>
          <w:sz w:val="24"/>
          <w:szCs w:val="24"/>
          <w:lang w:eastAsia="cs-CZ"/>
        </w:rPr>
        <w:lastRenderedPageBreak/>
        <w:t xml:space="preserve">pre chránených odberateľov plynu. Štandard pre odberateľov plynu v domácnosti zabezpečuje prevádzkovateľ najväčšej distribučnej siete SPP – distribúcia, a.s. Povinnosť zabezpečovať štandard pre ostatných chránených odberateľov majú jednotliví dodávatelia plynu. </w:t>
      </w:r>
    </w:p>
    <w:p w14:paraId="0594EAB1"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V oblasti technických opatrení, ktoré vyplývali z uvedeného vyhodnotenia a boli realizované v oblasti plynárenskej infraštruktúry na Slovensku, boli navrhnuté tak, aby boli dostatočné pre zásobovanie celého trhu – t.j. všetkých odberateľov – aj v čase mimoriadnych situácií vrátane tretej úrovne krízovej situácie – stavu núdze.</w:t>
      </w:r>
    </w:p>
    <w:p w14:paraId="3CFC3A21"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Zákonom o energetike je v súlade s požiadavkami nariadenia ustanovená úprava rozsahu skupiny chránených odberateľov.</w:t>
      </w:r>
    </w:p>
    <w:p w14:paraId="726D4D86" w14:textId="695D7F34" w:rsidR="00B27340" w:rsidRPr="00BB7A6F" w:rsidRDefault="00EB6633"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Chráneným odberateľom je odberateľ plynu, ktorý je pripojený k distribučnej sieti a ktorý je:</w:t>
      </w:r>
    </w:p>
    <w:p w14:paraId="6643FA06" w14:textId="77777777" w:rsidR="00B27340" w:rsidRPr="00BB7A6F" w:rsidRDefault="00B27340" w:rsidP="005F0557">
      <w:pPr>
        <w:numPr>
          <w:ilvl w:val="0"/>
          <w:numId w:val="18"/>
        </w:numPr>
        <w:tabs>
          <w:tab w:val="num" w:pos="360"/>
        </w:tabs>
        <w:spacing w:after="0" w:line="240" w:lineRule="auto"/>
        <w:ind w:left="36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odberateľom plynu v domácnosti,</w:t>
      </w:r>
    </w:p>
    <w:p w14:paraId="58DBAB0B" w14:textId="77777777" w:rsidR="00B27340" w:rsidRPr="00BB7A6F" w:rsidRDefault="00B27340" w:rsidP="005F0557">
      <w:pPr>
        <w:numPr>
          <w:ilvl w:val="0"/>
          <w:numId w:val="18"/>
        </w:numPr>
        <w:tabs>
          <w:tab w:val="num" w:pos="360"/>
        </w:tabs>
        <w:spacing w:after="0" w:line="240" w:lineRule="auto"/>
        <w:ind w:left="36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malým podnikom,</w:t>
      </w:r>
    </w:p>
    <w:p w14:paraId="7E3DB04A" w14:textId="77777777" w:rsidR="00B27340" w:rsidRPr="00BB7A6F" w:rsidRDefault="00B27340" w:rsidP="005F0557">
      <w:pPr>
        <w:numPr>
          <w:ilvl w:val="0"/>
          <w:numId w:val="18"/>
        </w:numPr>
        <w:tabs>
          <w:tab w:val="num" w:pos="360"/>
        </w:tabs>
        <w:spacing w:after="0" w:line="240" w:lineRule="auto"/>
        <w:ind w:left="36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odberateľom plynu, ktorý vyrába teplo a teplú úžitkovú vodu, určené pre domácnosť alebo pre osoby podľa písmen d) – g) a ktorý nie je pri výrobe tepla schopný prejsť na iné palivo,</w:t>
      </w:r>
    </w:p>
    <w:p w14:paraId="1FA10B49" w14:textId="77777777" w:rsidR="00B27340" w:rsidRPr="00BB7A6F" w:rsidRDefault="00B27340" w:rsidP="005F0557">
      <w:pPr>
        <w:numPr>
          <w:ilvl w:val="0"/>
          <w:numId w:val="18"/>
        </w:numPr>
        <w:tabs>
          <w:tab w:val="num" w:pos="360"/>
        </w:tabs>
        <w:spacing w:after="0" w:line="240" w:lineRule="auto"/>
        <w:ind w:left="36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prevádzkovateľom zdravotníckeho zariadenia,</w:t>
      </w:r>
    </w:p>
    <w:p w14:paraId="003AA180" w14:textId="77777777" w:rsidR="00B27340" w:rsidRPr="00BB7A6F" w:rsidRDefault="00B27340" w:rsidP="005F0557">
      <w:pPr>
        <w:numPr>
          <w:ilvl w:val="0"/>
          <w:numId w:val="18"/>
        </w:numPr>
        <w:tabs>
          <w:tab w:val="num" w:pos="360"/>
        </w:tabs>
        <w:spacing w:after="0" w:line="240" w:lineRule="auto"/>
        <w:ind w:left="36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zariadením sociálnych služieb,</w:t>
      </w:r>
    </w:p>
    <w:p w14:paraId="645264E5" w14:textId="77777777" w:rsidR="00B27340" w:rsidRPr="00BB7A6F" w:rsidRDefault="00B27340" w:rsidP="005F0557">
      <w:pPr>
        <w:numPr>
          <w:ilvl w:val="0"/>
          <w:numId w:val="18"/>
        </w:numPr>
        <w:tabs>
          <w:tab w:val="num" w:pos="360"/>
        </w:tabs>
        <w:spacing w:after="0" w:line="240" w:lineRule="auto"/>
        <w:ind w:left="36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zariadením sociálnoprávnej ochrany detí a sociálnej kurately,</w:t>
      </w:r>
    </w:p>
    <w:p w14:paraId="47F58447" w14:textId="77777777" w:rsidR="00B27340" w:rsidRPr="00BB7A6F" w:rsidRDefault="00B27340" w:rsidP="005F0557">
      <w:pPr>
        <w:numPr>
          <w:ilvl w:val="0"/>
          <w:numId w:val="18"/>
        </w:numPr>
        <w:tabs>
          <w:tab w:val="num" w:pos="360"/>
        </w:tabs>
        <w:spacing w:after="0" w:line="240" w:lineRule="auto"/>
        <w:ind w:left="36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školou,</w:t>
      </w:r>
    </w:p>
    <w:p w14:paraId="30E06CEA" w14:textId="77777777" w:rsidR="00B27340" w:rsidRPr="00BB7A6F" w:rsidRDefault="00B27340" w:rsidP="005F0557">
      <w:pPr>
        <w:numPr>
          <w:ilvl w:val="0"/>
          <w:numId w:val="18"/>
        </w:numPr>
        <w:tabs>
          <w:tab w:val="num" w:pos="360"/>
        </w:tabs>
        <w:spacing w:after="0" w:line="240" w:lineRule="auto"/>
        <w:ind w:left="36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odberateľom plynu okrem odberateľa plynu podľa písmen a) – g) v rozsahu a za podmienok ustanovených osobitným predpisom a všeobecne záväzným právnym predpisom.</w:t>
      </w:r>
    </w:p>
    <w:p w14:paraId="2CBF0DAC" w14:textId="77777777" w:rsidR="00B27340" w:rsidRPr="00BB7A6F" w:rsidRDefault="00B27340" w:rsidP="00B27340">
      <w:pPr>
        <w:jc w:val="both"/>
        <w:rPr>
          <w:rFonts w:ascii="Times New Roman" w:hAnsi="Times New Roman" w:cs="Times New Roman"/>
          <w:sz w:val="24"/>
          <w:szCs w:val="24"/>
          <w:lang w:eastAsia="cs-CZ"/>
        </w:rPr>
      </w:pPr>
    </w:p>
    <w:p w14:paraId="387C4FF5" w14:textId="77777777" w:rsidR="00B27340" w:rsidRPr="00BB7A6F" w:rsidRDefault="00B27340" w:rsidP="00B27340">
      <w:pPr>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Ministerstvo ako zodpovedný orgán pre oblasť bezpečnosti dodávok plynu do zákona o energetike zapracovalo aj možnosť rozšírenia skupiny chránených odberateľov, pričom podmienky takéhoto rozšírenia by boli určené všeobecne záväzným právnym predpisom – vyhláškou.</w:t>
      </w:r>
    </w:p>
    <w:p w14:paraId="68F441B5" w14:textId="536329DA" w:rsidR="00B27340" w:rsidRPr="00BB7A6F" w:rsidRDefault="00E1031B"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Investície do rozvoja plynárenskej infraštruktúry prostredníctvom programu EEPR, v rámci vlastných investícii plynárenských spoločností ako aj plány v oblasti väčšieho vzájomného prepojenia členských štátov prostredníctvom projektov spoločného záujmu dávajú predpoklady na to, aby prípadné krízové situácie, nech už sú zapríčinené rôznymi okolnosťami, bolo možné riešiť najmä využitím trhových mechanizmov tak, aby nebolo nutné pristupovať k obmedzeniam dodávky plynu pre jednotlivé kategórie odberateľov.</w:t>
      </w:r>
    </w:p>
    <w:p w14:paraId="25207756" w14:textId="586445C2" w:rsidR="00B27340" w:rsidRPr="00BB7A6F" w:rsidRDefault="00E1031B" w:rsidP="00B27340">
      <w:pPr>
        <w:widowControl w:val="0"/>
        <w:autoSpaceDE w:val="0"/>
        <w:autoSpaceDN w:val="0"/>
        <w:adjustRightInd w:val="0"/>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V prípade vyhlásenia krízovej situácie sú účastníci trhu s plynom v zmysle ustanovení zákona o energetike povinní podieľať sa na odstránení jej príčin a dôsledkov.</w:t>
      </w:r>
    </w:p>
    <w:p w14:paraId="2B885E0C" w14:textId="19D5075C" w:rsidR="00B27340" w:rsidRPr="00BB7A6F" w:rsidRDefault="00E1031B" w:rsidP="00B27340">
      <w:pPr>
        <w:widowControl w:val="0"/>
        <w:autoSpaceDE w:val="0"/>
        <w:autoSpaceDN w:val="0"/>
        <w:adjustRightInd w:val="0"/>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 xml:space="preserve">Každý účastník trhu s plynom je povinný podrobiť sa prijatým opatreniam pri krízovej situácii (ďalej len „obmedzujúce opatrenia v plynárenstve“) a opatreniam zameraným na odstránenie krízovej situácie, ktoré vyhlási alebo určí prevádzkovateľ distribučnej siete, ktorý na základe rozhodnutia ministerstva plní úlohy plynárenského dispečingu na vymedzenom území. </w:t>
      </w:r>
      <w:r w:rsidR="00B27340" w:rsidRPr="00BB7A6F">
        <w:rPr>
          <w:rFonts w:ascii="Times New Roman" w:hAnsi="Times New Roman" w:cs="Times New Roman"/>
          <w:sz w:val="24"/>
          <w:szCs w:val="24"/>
          <w:lang w:eastAsia="cs-CZ"/>
        </w:rPr>
        <w:lastRenderedPageBreak/>
        <w:t>Obmedzujúce opatrenia v plynárenstve, pri ktorých sa obmedzuje alebo prerušuje dodávka plynu, sa uplatňujú v tomto poradí:</w:t>
      </w:r>
    </w:p>
    <w:p w14:paraId="298CAED4" w14:textId="77777777" w:rsidR="00B27340" w:rsidRPr="00BB7A6F" w:rsidRDefault="00B27340" w:rsidP="005F0557">
      <w:pPr>
        <w:widowControl w:val="0"/>
        <w:numPr>
          <w:ilvl w:val="0"/>
          <w:numId w:val="20"/>
        </w:numPr>
        <w:tabs>
          <w:tab w:val="num" w:pos="360"/>
        </w:tabs>
        <w:autoSpaceDE w:val="0"/>
        <w:autoSpaceDN w:val="0"/>
        <w:adjustRightInd w:val="0"/>
        <w:spacing w:after="0" w:line="240" w:lineRule="auto"/>
        <w:ind w:left="36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obmedzenie odberu plynu u odberateľov, ktorí prevádzkujú výrobu alebo poskytujú služby náročné na spotrebu plynu,</w:t>
      </w:r>
    </w:p>
    <w:p w14:paraId="151BC4E6" w14:textId="77777777" w:rsidR="00B27340" w:rsidRPr="00BB7A6F" w:rsidRDefault="00B27340" w:rsidP="005F0557">
      <w:pPr>
        <w:widowControl w:val="0"/>
        <w:numPr>
          <w:ilvl w:val="0"/>
          <w:numId w:val="20"/>
        </w:numPr>
        <w:tabs>
          <w:tab w:val="num" w:pos="360"/>
        </w:tabs>
        <w:autoSpaceDE w:val="0"/>
        <w:autoSpaceDN w:val="0"/>
        <w:adjustRightInd w:val="0"/>
        <w:spacing w:after="0" w:line="240" w:lineRule="auto"/>
        <w:ind w:left="36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prerušenie dodávok plynu pre týchto odberateľov,</w:t>
      </w:r>
    </w:p>
    <w:p w14:paraId="655D62C6" w14:textId="77777777" w:rsidR="00B27340" w:rsidRPr="00BB7A6F" w:rsidRDefault="00B27340" w:rsidP="005F0557">
      <w:pPr>
        <w:widowControl w:val="0"/>
        <w:numPr>
          <w:ilvl w:val="0"/>
          <w:numId w:val="20"/>
        </w:numPr>
        <w:tabs>
          <w:tab w:val="num" w:pos="360"/>
        </w:tabs>
        <w:autoSpaceDE w:val="0"/>
        <w:autoSpaceDN w:val="0"/>
        <w:adjustRightInd w:val="0"/>
        <w:spacing w:after="0" w:line="240" w:lineRule="auto"/>
        <w:ind w:left="36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obmedzenie a prerušenie dodávok plynu pre ostatných odberateľov okrem chránených odberateľov,</w:t>
      </w:r>
    </w:p>
    <w:p w14:paraId="4AA3411D" w14:textId="77777777" w:rsidR="00B27340" w:rsidRPr="00BB7A6F" w:rsidRDefault="00B27340" w:rsidP="005F0557">
      <w:pPr>
        <w:widowControl w:val="0"/>
        <w:numPr>
          <w:ilvl w:val="0"/>
          <w:numId w:val="20"/>
        </w:numPr>
        <w:tabs>
          <w:tab w:val="num" w:pos="360"/>
        </w:tabs>
        <w:autoSpaceDE w:val="0"/>
        <w:autoSpaceDN w:val="0"/>
        <w:adjustRightInd w:val="0"/>
        <w:spacing w:after="0" w:line="240" w:lineRule="auto"/>
        <w:ind w:left="36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obmedzenie a prerušenie dodávok plynu pre chránených odberateľov – malým podnikom a odberateľom v rozsahu a za podmienok, ktoré ustanoví všeobecne záväzný právny predpis,</w:t>
      </w:r>
    </w:p>
    <w:p w14:paraId="7405C0AF" w14:textId="77777777" w:rsidR="00B27340" w:rsidRPr="00BB7A6F" w:rsidRDefault="00B27340" w:rsidP="005F0557">
      <w:pPr>
        <w:widowControl w:val="0"/>
        <w:numPr>
          <w:ilvl w:val="0"/>
          <w:numId w:val="20"/>
        </w:numPr>
        <w:tabs>
          <w:tab w:val="num" w:pos="360"/>
        </w:tabs>
        <w:autoSpaceDE w:val="0"/>
        <w:autoSpaceDN w:val="0"/>
        <w:adjustRightInd w:val="0"/>
        <w:spacing w:after="0" w:line="240" w:lineRule="auto"/>
        <w:ind w:left="36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obmedzenie a prerušenie dodávok plynu pre chránených odberateľov, ktorí vyrábajú teplo a teplú úžitkovú vodu, určené pre domácnosť alebo pre osoby definované zákonom a ktorí nie sú pri výrobe tepla schopný prejsť na iné palivo,</w:t>
      </w:r>
    </w:p>
    <w:p w14:paraId="1BBE00E6" w14:textId="77777777" w:rsidR="00B27340" w:rsidRPr="00BB7A6F" w:rsidRDefault="00B27340" w:rsidP="005F0557">
      <w:pPr>
        <w:widowControl w:val="0"/>
        <w:numPr>
          <w:ilvl w:val="0"/>
          <w:numId w:val="20"/>
        </w:numPr>
        <w:tabs>
          <w:tab w:val="num" w:pos="360"/>
        </w:tabs>
        <w:autoSpaceDE w:val="0"/>
        <w:autoSpaceDN w:val="0"/>
        <w:adjustRightInd w:val="0"/>
        <w:spacing w:after="0" w:line="240" w:lineRule="auto"/>
        <w:ind w:left="36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obmedzenie a prerušenie dodávok plynu pre chránených odberateľov, ktorými sú prevádzkovateľ zdravotníckeho zariadenia, zariadenia sociálnych služieb, zariadenia sociálnoprávnej ochrany detí a sociálnej kurately, školy,</w:t>
      </w:r>
    </w:p>
    <w:p w14:paraId="63352CAD" w14:textId="77777777" w:rsidR="00B27340" w:rsidRPr="00BB7A6F" w:rsidRDefault="00B27340" w:rsidP="005F0557">
      <w:pPr>
        <w:widowControl w:val="0"/>
        <w:numPr>
          <w:ilvl w:val="0"/>
          <w:numId w:val="20"/>
        </w:numPr>
        <w:tabs>
          <w:tab w:val="num" w:pos="360"/>
        </w:tabs>
        <w:autoSpaceDE w:val="0"/>
        <w:autoSpaceDN w:val="0"/>
        <w:adjustRightInd w:val="0"/>
        <w:spacing w:after="0" w:line="240" w:lineRule="auto"/>
        <w:ind w:left="36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obmedzenie a prerušenie dodávok plynu pre chránených odberateľov, ktorými sú odberatelia plynu v domácnosti.</w:t>
      </w:r>
    </w:p>
    <w:p w14:paraId="09FFE0BD" w14:textId="77777777" w:rsidR="00B27340" w:rsidRPr="00BB7A6F" w:rsidRDefault="00B27340" w:rsidP="00B27340">
      <w:pPr>
        <w:widowControl w:val="0"/>
        <w:autoSpaceDE w:val="0"/>
        <w:autoSpaceDN w:val="0"/>
        <w:adjustRightInd w:val="0"/>
        <w:jc w:val="both"/>
        <w:rPr>
          <w:rFonts w:ascii="Times New Roman" w:hAnsi="Times New Roman" w:cs="Times New Roman"/>
          <w:sz w:val="24"/>
          <w:szCs w:val="24"/>
          <w:lang w:eastAsia="cs-CZ"/>
        </w:rPr>
      </w:pPr>
    </w:p>
    <w:p w14:paraId="385D57C0" w14:textId="77777777" w:rsidR="00B27340" w:rsidRPr="00BB7A6F" w:rsidRDefault="00B27340" w:rsidP="00B27340">
      <w:pPr>
        <w:widowControl w:val="0"/>
        <w:autoSpaceDE w:val="0"/>
        <w:autoSpaceDN w:val="0"/>
        <w:adjustRightInd w:val="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Obmedzenie a prerušenie dodávok plynu sa nevzťahuje na prevádzkovateľa zásobníka a výrobcu plynu.</w:t>
      </w:r>
    </w:p>
    <w:p w14:paraId="39DF2A59" w14:textId="77777777" w:rsidR="00B27340" w:rsidRPr="00BB7A6F" w:rsidRDefault="00B27340" w:rsidP="00B27340">
      <w:pPr>
        <w:widowControl w:val="0"/>
        <w:autoSpaceDE w:val="0"/>
        <w:autoSpaceDN w:val="0"/>
        <w:adjustRightInd w:val="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Obmedzujúce opatrenia v plynárenstve na vymedzenom území alebo na časti vymedzeného územia vyhlasuje a odvoláva prevádzkovateľ distribučnej siete, ktorý na základe rozhodnutia ministerstva plní úlohy plynárenského dispečingu na vymedzenom území, vo verejnoprávnych hromadných oznamovacích prostriedkoch a pomocou prostriedkov dispečerského riadenia. Tento prevádzkovateľ distribučnej siete vyhlásenie a odvolanie obmedzujúcich opatrení v plynárenstve a určenie opatrení zameraných na odstránenie krízovej situácie bezodkladne oznamuje ministerstvu; oznámenie o vyhlásení a odvolaní obmedzujúcich opatrení v plynárenstve alebo o určení opatrení zameraných na odstránenie krízovej situácie obsahuje aj podrobnosti o uplatňovaných obmedzujúcich opatreniach v plynárenstve alebo opatreniach zameraných na odstránenie krízovej situácie.</w:t>
      </w:r>
    </w:p>
    <w:p w14:paraId="5DEE1F4B" w14:textId="1E4977C0" w:rsidR="00B27340" w:rsidRPr="00BB7A6F" w:rsidRDefault="00E1031B" w:rsidP="00B27340">
      <w:pPr>
        <w:widowControl w:val="0"/>
        <w:autoSpaceDE w:val="0"/>
        <w:autoSpaceDN w:val="0"/>
        <w:adjustRightInd w:val="0"/>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Prevádzkovateľ distribučnej siete, ktorý na základe rozhodnutia ministerstva plní úlohy plynárenského dispečingu na vymedzenom území, môže v náležite odôvodnených výnimočných situáciách vyhlásiť alebo určiť obmedzujúce opatrenia v plynárenstve alebo opatrenia zamerané na odstránenie krízovej situácie, ktoré nie sú uvedené v núdzovom pláne, ak sú splnené tieto podmienky:</w:t>
      </w:r>
    </w:p>
    <w:p w14:paraId="13337344" w14:textId="77777777" w:rsidR="00B27340" w:rsidRPr="00BB7A6F" w:rsidRDefault="00B27340" w:rsidP="005F0557">
      <w:pPr>
        <w:widowControl w:val="0"/>
        <w:numPr>
          <w:ilvl w:val="0"/>
          <w:numId w:val="21"/>
        </w:numPr>
        <w:tabs>
          <w:tab w:val="clear" w:pos="720"/>
          <w:tab w:val="num" w:pos="360"/>
        </w:tabs>
        <w:autoSpaceDE w:val="0"/>
        <w:autoSpaceDN w:val="0"/>
        <w:adjustRightInd w:val="0"/>
        <w:spacing w:after="0" w:line="240" w:lineRule="auto"/>
        <w:ind w:left="36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obmedzujúce opatrenia v plynárenstve alebo opatrenia zamerané na odstránenie krízovej situácie neobmedzujú neprimerane tok plynu v rámci vnútorného trhu,</w:t>
      </w:r>
    </w:p>
    <w:p w14:paraId="37D9A436" w14:textId="77777777" w:rsidR="00B27340" w:rsidRPr="00BB7A6F" w:rsidRDefault="00B27340" w:rsidP="005F0557">
      <w:pPr>
        <w:widowControl w:val="0"/>
        <w:numPr>
          <w:ilvl w:val="0"/>
          <w:numId w:val="21"/>
        </w:numPr>
        <w:tabs>
          <w:tab w:val="clear" w:pos="720"/>
          <w:tab w:val="num" w:pos="360"/>
        </w:tabs>
        <w:autoSpaceDE w:val="0"/>
        <w:autoSpaceDN w:val="0"/>
        <w:adjustRightInd w:val="0"/>
        <w:spacing w:after="0" w:line="240" w:lineRule="auto"/>
        <w:ind w:left="36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obmedzujúce opatrenia v plynárenstve alebo opatrenia zamerané na odstránenie krízovej situácie neohrozujú vážne situáciu v oblasti dodávky plynu v inom členskom štáte, a</w:t>
      </w:r>
    </w:p>
    <w:p w14:paraId="337D8169" w14:textId="77777777" w:rsidR="00B27340" w:rsidRPr="00BB7A6F" w:rsidRDefault="00B27340" w:rsidP="005F0557">
      <w:pPr>
        <w:widowControl w:val="0"/>
        <w:numPr>
          <w:ilvl w:val="0"/>
          <w:numId w:val="21"/>
        </w:numPr>
        <w:tabs>
          <w:tab w:val="clear" w:pos="720"/>
          <w:tab w:val="num" w:pos="360"/>
        </w:tabs>
        <w:autoSpaceDE w:val="0"/>
        <w:autoSpaceDN w:val="0"/>
        <w:adjustRightInd w:val="0"/>
        <w:spacing w:after="0" w:line="240" w:lineRule="auto"/>
        <w:ind w:left="36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je zachovaný cezhraničný prístup k infraštruktúre v súlade s nariadením pokiaľ je to z technického a bezpečnostného hľadiska možné.</w:t>
      </w:r>
    </w:p>
    <w:p w14:paraId="70DA7228" w14:textId="77777777" w:rsidR="00B27340" w:rsidRPr="00BB7A6F" w:rsidRDefault="00B27340" w:rsidP="00B27340">
      <w:pPr>
        <w:widowControl w:val="0"/>
        <w:autoSpaceDE w:val="0"/>
        <w:autoSpaceDN w:val="0"/>
        <w:adjustRightInd w:val="0"/>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 xml:space="preserve">Prevádzkovateľ distribučnej siete, ktorý na základe rozhodnutia ministerstva plní úlohy </w:t>
      </w:r>
      <w:r w:rsidRPr="00BB7A6F">
        <w:rPr>
          <w:rFonts w:ascii="Times New Roman" w:hAnsi="Times New Roman" w:cs="Times New Roman"/>
          <w:sz w:val="24"/>
          <w:szCs w:val="24"/>
          <w:lang w:eastAsia="cs-CZ"/>
        </w:rPr>
        <w:lastRenderedPageBreak/>
        <w:t>plynárenského dispečingu na vymedzenom území, je povinný na žiadosť ministerstva bezodkladne odvolať alebo zrušiť obmedzujúce opatrenie v plynárenstve alebo opatrenie zamerané na odstránenie krízovej situácie.</w:t>
      </w:r>
    </w:p>
    <w:p w14:paraId="313A5403" w14:textId="1C880CC5" w:rsidR="00B27340" w:rsidRPr="00BB7A6F" w:rsidRDefault="00E1031B" w:rsidP="00B27340">
      <w:pPr>
        <w:jc w:val="both"/>
        <w:rPr>
          <w:rFonts w:ascii="Times New Roman" w:hAnsi="Times New Roman" w:cs="Times New Roman"/>
          <w:sz w:val="24"/>
          <w:szCs w:val="16"/>
          <w:lang w:eastAsia="cs-CZ"/>
        </w:rPr>
      </w:pPr>
      <w:r>
        <w:rPr>
          <w:rFonts w:ascii="Times New Roman" w:hAnsi="Times New Roman" w:cs="Times New Roman"/>
          <w:sz w:val="24"/>
          <w:szCs w:val="16"/>
          <w:lang w:eastAsia="cs-CZ"/>
        </w:rPr>
        <w:br/>
      </w:r>
      <w:r w:rsidR="00B27340" w:rsidRPr="00BB7A6F">
        <w:rPr>
          <w:rFonts w:ascii="Times New Roman" w:hAnsi="Times New Roman" w:cs="Times New Roman"/>
          <w:sz w:val="24"/>
          <w:szCs w:val="16"/>
          <w:lang w:eastAsia="cs-CZ"/>
        </w:rPr>
        <w:t>Aj napriek intenzívnym rokovaniam na najvyššej úrovni medzi EK, RU a UA – nebolo možné predpovedať vývoj situácie v tranzite zemného plynu cez územie Ukrajiny po 31. decembri 2019. Jeho obmedzenie resp. úplné prerušenie by malo dopad aj na Slovensko.</w:t>
      </w:r>
    </w:p>
    <w:p w14:paraId="49CCBB43" w14:textId="2A5EABD2" w:rsidR="00B27340" w:rsidRPr="00BB7A6F" w:rsidRDefault="00E1031B" w:rsidP="00B27340">
      <w:pPr>
        <w:jc w:val="both"/>
        <w:rPr>
          <w:rFonts w:ascii="Times New Roman" w:hAnsi="Times New Roman" w:cs="Times New Roman"/>
          <w:sz w:val="24"/>
          <w:szCs w:val="16"/>
          <w:lang w:eastAsia="cs-CZ"/>
        </w:rPr>
      </w:pPr>
      <w:r>
        <w:rPr>
          <w:rFonts w:ascii="Times New Roman" w:hAnsi="Times New Roman" w:cs="Times New Roman"/>
          <w:sz w:val="24"/>
          <w:szCs w:val="16"/>
          <w:lang w:eastAsia="cs-CZ"/>
        </w:rPr>
        <w:br/>
      </w:r>
      <w:r w:rsidR="00B27340" w:rsidRPr="00BB7A6F">
        <w:rPr>
          <w:rFonts w:ascii="Times New Roman" w:hAnsi="Times New Roman" w:cs="Times New Roman"/>
          <w:sz w:val="24"/>
          <w:szCs w:val="16"/>
          <w:lang w:eastAsia="cs-CZ"/>
        </w:rPr>
        <w:t>Z tohto dôvodu ministerstvo vydalo v súvislosti s mimoriadnou situáciou s účinnosťou od 28. októbra 2019 pokyn v zmysle príslušných ustanovení zákona o energetike na plnenie úloh plynárenského dispečingu, ktorý sa týkal monitorovania dodávky plynu na vymedzené územie v zimnom období 2019/2020 (od 1. novembra 2019 do 31. marca 2020) na základe informácii jednotlivých dodávateľov.</w:t>
      </w:r>
    </w:p>
    <w:p w14:paraId="4E3B5DA6" w14:textId="3E8773A6" w:rsidR="00B27340" w:rsidRPr="00E1031B" w:rsidRDefault="00E1031B" w:rsidP="00B27340">
      <w:pPr>
        <w:jc w:val="both"/>
        <w:rPr>
          <w:rFonts w:ascii="Times New Roman" w:hAnsi="Times New Roman" w:cs="Times New Roman"/>
          <w:b/>
          <w:color w:val="000000" w:themeColor="text1"/>
          <w:sz w:val="24"/>
          <w:szCs w:val="16"/>
          <w:lang w:eastAsia="cs-CZ"/>
        </w:rPr>
      </w:pPr>
      <w:r>
        <w:rPr>
          <w:rFonts w:ascii="Times New Roman" w:hAnsi="Times New Roman" w:cs="Times New Roman"/>
          <w:b/>
          <w:color w:val="000000" w:themeColor="text1"/>
          <w:sz w:val="24"/>
          <w:szCs w:val="16"/>
          <w:lang w:eastAsia="cs-CZ"/>
        </w:rPr>
        <w:br/>
      </w:r>
      <w:r w:rsidR="00B27340" w:rsidRPr="00E1031B">
        <w:rPr>
          <w:rFonts w:ascii="Times New Roman" w:hAnsi="Times New Roman" w:cs="Times New Roman"/>
          <w:b/>
          <w:color w:val="000000" w:themeColor="text1"/>
          <w:sz w:val="24"/>
          <w:szCs w:val="16"/>
          <w:lang w:eastAsia="cs-CZ"/>
        </w:rPr>
        <w:t>Štandard bezpečnosti dodávok plynu</w:t>
      </w:r>
    </w:p>
    <w:p w14:paraId="3501101B" w14:textId="77777777" w:rsidR="00B27340" w:rsidRPr="00BB7A6F" w:rsidRDefault="00B27340" w:rsidP="00B27340">
      <w:pPr>
        <w:jc w:val="both"/>
        <w:rPr>
          <w:rFonts w:ascii="Times New Roman" w:hAnsi="Times New Roman" w:cs="Times New Roman"/>
          <w:sz w:val="24"/>
          <w:szCs w:val="16"/>
          <w:lang w:eastAsia="cs-CZ"/>
        </w:rPr>
      </w:pPr>
      <w:r w:rsidRPr="00BB7A6F">
        <w:rPr>
          <w:rFonts w:ascii="Times New Roman" w:hAnsi="Times New Roman" w:cs="Times New Roman"/>
          <w:sz w:val="24"/>
          <w:szCs w:val="16"/>
          <w:lang w:eastAsia="cs-CZ"/>
        </w:rPr>
        <w:t>Prevádzkovateľ distribučnej siete, ktorý na základe rozhodnutia ministerstva plní úlohy plynárenského dispečingu na vymedzenom území, dodávateľ plynu a chránený odberateľ, ktorí si zabezpečujú dodávky plynu z územia Európskej únie alebo z územia tretích štátov, sú povinní na účel riešenia krízovej situácie a predchádzania krízovej situácii zabezpečiť štandard bezpečnosti dodávok plynu pre chránených odberateľov.</w:t>
      </w:r>
    </w:p>
    <w:p w14:paraId="46F5699C" w14:textId="210B4C47" w:rsidR="00B27340" w:rsidRPr="00BB7A6F" w:rsidRDefault="00E1031B" w:rsidP="00B27340">
      <w:pPr>
        <w:jc w:val="both"/>
        <w:rPr>
          <w:rFonts w:ascii="Times New Roman" w:hAnsi="Times New Roman" w:cs="Times New Roman"/>
          <w:sz w:val="24"/>
          <w:szCs w:val="16"/>
          <w:lang w:eastAsia="cs-CZ"/>
        </w:rPr>
      </w:pPr>
      <w:r>
        <w:rPr>
          <w:rFonts w:ascii="Times New Roman" w:hAnsi="Times New Roman" w:cs="Times New Roman"/>
          <w:sz w:val="24"/>
          <w:szCs w:val="16"/>
          <w:lang w:eastAsia="cs-CZ"/>
        </w:rPr>
        <w:br/>
      </w:r>
      <w:r w:rsidR="00B27340" w:rsidRPr="00BB7A6F">
        <w:rPr>
          <w:rFonts w:ascii="Times New Roman" w:hAnsi="Times New Roman" w:cs="Times New Roman"/>
          <w:sz w:val="24"/>
          <w:szCs w:val="16"/>
          <w:lang w:eastAsia="cs-CZ"/>
        </w:rPr>
        <w:t>Štandardom bezpečnosti dodávok plynu je zabezpečenie dodávky plynu pre chránených odberateľov v rozsahu podľa osobitného predpisu, ktorým je nariadenie.</w:t>
      </w:r>
    </w:p>
    <w:p w14:paraId="12E0A45C" w14:textId="4979FA76" w:rsidR="00B27340" w:rsidRPr="00BB7A6F" w:rsidRDefault="00E1031B" w:rsidP="00B27340">
      <w:pPr>
        <w:jc w:val="both"/>
        <w:rPr>
          <w:rFonts w:ascii="Times New Roman" w:hAnsi="Times New Roman" w:cs="Times New Roman"/>
          <w:sz w:val="24"/>
          <w:szCs w:val="24"/>
          <w:lang w:eastAsia="cs-CZ"/>
        </w:rPr>
      </w:pPr>
      <w:r>
        <w:rPr>
          <w:rFonts w:ascii="Times New Roman" w:hAnsi="Times New Roman" w:cs="Times New Roman"/>
          <w:sz w:val="24"/>
          <w:szCs w:val="24"/>
          <w:lang w:eastAsia="cs-CZ"/>
        </w:rPr>
        <w:br/>
      </w:r>
      <w:r w:rsidR="00B27340" w:rsidRPr="00BB7A6F">
        <w:rPr>
          <w:rFonts w:ascii="Times New Roman" w:hAnsi="Times New Roman" w:cs="Times New Roman"/>
          <w:sz w:val="24"/>
          <w:szCs w:val="24"/>
          <w:lang w:eastAsia="cs-CZ"/>
        </w:rPr>
        <w:t>To v článku 6 ods. 1 ustanovuje prípady, v ktorých majú plynárenské podniky zabezpečiť dodávku plynu chráneným odberateľom. Ide o:</w:t>
      </w:r>
    </w:p>
    <w:p w14:paraId="4F0E2BA5" w14:textId="77777777" w:rsidR="00B27340" w:rsidRPr="00BB7A6F" w:rsidRDefault="00B27340" w:rsidP="005F0557">
      <w:pPr>
        <w:numPr>
          <w:ilvl w:val="2"/>
          <w:numId w:val="17"/>
        </w:numPr>
        <w:tabs>
          <w:tab w:val="num" w:pos="720"/>
        </w:tabs>
        <w:spacing w:after="0" w:line="240" w:lineRule="auto"/>
        <w:ind w:left="357" w:hanging="357"/>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mimoriadne teploty počas sedemdňovej špičky, ktorá sa štatisticky vyskytujú raz za 20 rokov,</w:t>
      </w:r>
    </w:p>
    <w:p w14:paraId="6DAD4B0E" w14:textId="77777777" w:rsidR="00B27340" w:rsidRPr="00BB7A6F" w:rsidRDefault="00B27340" w:rsidP="005F0557">
      <w:pPr>
        <w:numPr>
          <w:ilvl w:val="2"/>
          <w:numId w:val="17"/>
        </w:numPr>
        <w:tabs>
          <w:tab w:val="num" w:pos="720"/>
        </w:tabs>
        <w:spacing w:after="0" w:line="240" w:lineRule="auto"/>
        <w:ind w:left="357" w:hanging="357"/>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každé 30 dňové obdobie výnimočne vysokého dopytu po plyne, ktoré sa štatisticky vyskytuje raz za 20 rokov,</w:t>
      </w:r>
    </w:p>
    <w:p w14:paraId="2C254A6E" w14:textId="77777777" w:rsidR="00B27340" w:rsidRPr="00BB7A6F" w:rsidRDefault="00B27340" w:rsidP="005F0557">
      <w:pPr>
        <w:numPr>
          <w:ilvl w:val="2"/>
          <w:numId w:val="17"/>
        </w:numPr>
        <w:tabs>
          <w:tab w:val="num" w:pos="720"/>
        </w:tabs>
        <w:spacing w:after="0" w:line="240" w:lineRule="auto"/>
        <w:ind w:left="357" w:hanging="357"/>
        <w:jc w:val="both"/>
        <w:rPr>
          <w:rFonts w:ascii="Times New Roman" w:hAnsi="Times New Roman" w:cs="Times New Roman"/>
          <w:sz w:val="24"/>
          <w:szCs w:val="24"/>
          <w:lang w:eastAsia="cs-CZ"/>
        </w:rPr>
      </w:pPr>
      <w:r w:rsidRPr="00BB7A6F">
        <w:rPr>
          <w:rFonts w:ascii="Times New Roman" w:hAnsi="Times New Roman" w:cs="Times New Roman"/>
          <w:sz w:val="24"/>
          <w:szCs w:val="24"/>
          <w:lang w:eastAsia="cs-CZ"/>
        </w:rPr>
        <w:t>30 dňové obdobie v prípade prerušenia prevádzky samostatnej najväčšej plynárenskej infraštruktúry v bežných zimných podmienkach.</w:t>
      </w:r>
    </w:p>
    <w:p w14:paraId="2DA5187B" w14:textId="77777777" w:rsidR="00B27340" w:rsidRPr="00BB7A6F" w:rsidRDefault="00B27340" w:rsidP="00B27340">
      <w:pPr>
        <w:jc w:val="both"/>
        <w:rPr>
          <w:rFonts w:ascii="Times New Roman" w:hAnsi="Times New Roman" w:cs="Times New Roman"/>
          <w:sz w:val="24"/>
          <w:szCs w:val="24"/>
          <w:lang w:eastAsia="cs-CZ"/>
        </w:rPr>
      </w:pPr>
    </w:p>
    <w:p w14:paraId="31A8FB34" w14:textId="77777777" w:rsidR="00B27340" w:rsidRPr="00BB7A6F" w:rsidRDefault="00B27340" w:rsidP="00B27340">
      <w:pPr>
        <w:jc w:val="both"/>
        <w:rPr>
          <w:rFonts w:ascii="Times New Roman" w:hAnsi="Times New Roman" w:cs="Times New Roman"/>
          <w:bCs/>
          <w:sz w:val="24"/>
          <w:szCs w:val="24"/>
          <w:lang w:eastAsia="cs-CZ"/>
        </w:rPr>
      </w:pPr>
      <w:r w:rsidRPr="00BB7A6F">
        <w:rPr>
          <w:rFonts w:ascii="Times New Roman" w:hAnsi="Times New Roman" w:cs="Times New Roman"/>
          <w:bCs/>
          <w:sz w:val="24"/>
          <w:szCs w:val="24"/>
          <w:lang w:eastAsia="cs-CZ"/>
        </w:rPr>
        <w:t>Dotknutí účastníci trhu s plynom zabezpečujú uvedený štandard bezpečnosti dodávok plynu zásobami plynu v zásobníkoch s disponibilitou dodávok plynu zo zásobníkov pri krízovej situácii do siete na vymedzenom území, alebo zmluvne zabezpečenými dodávkami plynu vyrobeného na vymedzenom území. Najviac 50 % objemu plynu potrebného na zabezpečenie štandardu bezpečnosti dodávok môžu zabezpečiť využitím cezhraničnej kapacity sietí zmluvne zabezpečenými výpomocnými dodávkami plynu disponibilnými pri krízovej situácii na vymedzenom území.</w:t>
      </w:r>
    </w:p>
    <w:p w14:paraId="055B85DA" w14:textId="6D6C6F29" w:rsidR="00B27340" w:rsidRPr="00BB7A6F" w:rsidRDefault="00E1031B" w:rsidP="00B27340">
      <w:pPr>
        <w:jc w:val="both"/>
        <w:rPr>
          <w:rFonts w:ascii="Times New Roman" w:hAnsi="Times New Roman" w:cs="Times New Roman"/>
          <w:bCs/>
          <w:sz w:val="24"/>
          <w:szCs w:val="24"/>
          <w:lang w:eastAsia="cs-CZ"/>
        </w:rPr>
      </w:pPr>
      <w:r>
        <w:rPr>
          <w:rFonts w:ascii="Times New Roman" w:hAnsi="Times New Roman" w:cs="Times New Roman"/>
          <w:bCs/>
          <w:sz w:val="24"/>
          <w:szCs w:val="24"/>
          <w:lang w:eastAsia="cs-CZ"/>
        </w:rPr>
        <w:lastRenderedPageBreak/>
        <w:br/>
      </w:r>
      <w:r w:rsidR="00B27340" w:rsidRPr="00BB7A6F">
        <w:rPr>
          <w:rFonts w:ascii="Times New Roman" w:hAnsi="Times New Roman" w:cs="Times New Roman"/>
          <w:bCs/>
          <w:sz w:val="24"/>
          <w:szCs w:val="24"/>
          <w:lang w:eastAsia="cs-CZ"/>
        </w:rPr>
        <w:t>Prevádzkovateľ distribučnej siete, ktorý na základe rozhodnutia ministerstva plní úlohy plynárenského dispečingu, dodávateľ plynu a chránený odberateľ, ktorí si zabezpečujú dodávky plynu z územia Európskej únie alebo z územia tretích štátov predkladajú ministerstvu každoročne do 28. februára návrh spôsobu zabezpečenia štandardu bezpečnosti dodávok plynu na nasledujúce obdobie od 1. novembra do 31. marca.</w:t>
      </w:r>
    </w:p>
    <w:p w14:paraId="37A7EAE6" w14:textId="3A1605B5" w:rsidR="00B27340" w:rsidRPr="00BB7A6F" w:rsidRDefault="00B8646A" w:rsidP="00B27340">
      <w:pPr>
        <w:jc w:val="both"/>
        <w:rPr>
          <w:rFonts w:ascii="Times New Roman" w:hAnsi="Times New Roman" w:cs="Times New Roman"/>
          <w:bCs/>
          <w:sz w:val="24"/>
          <w:szCs w:val="24"/>
          <w:lang w:eastAsia="cs-CZ"/>
        </w:rPr>
      </w:pPr>
      <w:r>
        <w:rPr>
          <w:rFonts w:ascii="Times New Roman" w:hAnsi="Times New Roman" w:cs="Times New Roman"/>
          <w:bCs/>
          <w:sz w:val="24"/>
          <w:szCs w:val="24"/>
          <w:lang w:eastAsia="cs-CZ"/>
        </w:rPr>
        <w:br/>
      </w:r>
      <w:r w:rsidR="00B27340" w:rsidRPr="00BB7A6F">
        <w:rPr>
          <w:rFonts w:ascii="Times New Roman" w:hAnsi="Times New Roman" w:cs="Times New Roman"/>
          <w:bCs/>
          <w:sz w:val="24"/>
          <w:szCs w:val="24"/>
          <w:lang w:eastAsia="cs-CZ"/>
        </w:rPr>
        <w:t>Ministerstvo po prerokovaní predložených návrhov s Úradom pre reguláciu sieťových odvetví a prevádzkovateľom distribučnej siete, ktorý na základe rozhodnutia ministerstva plní úlohy plynárenského dispečingu na vymedzenom území, rozhodne o spôsobe zabezpečenia štandardu bezpečnosti dodávok plynu do 31. marca.</w:t>
      </w:r>
    </w:p>
    <w:p w14:paraId="409DAA5E" w14:textId="5BD2158F" w:rsidR="00B27340" w:rsidRPr="00BB7A6F" w:rsidRDefault="00F27DBD" w:rsidP="00B27340">
      <w:pPr>
        <w:jc w:val="both"/>
        <w:rPr>
          <w:rFonts w:ascii="Times New Roman" w:hAnsi="Times New Roman" w:cs="Times New Roman"/>
          <w:bCs/>
          <w:sz w:val="24"/>
          <w:szCs w:val="24"/>
          <w:lang w:eastAsia="cs-CZ"/>
        </w:rPr>
      </w:pPr>
      <w:r>
        <w:rPr>
          <w:rFonts w:ascii="Times New Roman" w:hAnsi="Times New Roman" w:cs="Times New Roman"/>
          <w:bCs/>
          <w:sz w:val="24"/>
          <w:szCs w:val="24"/>
          <w:lang w:eastAsia="cs-CZ"/>
        </w:rPr>
        <w:br/>
      </w:r>
      <w:r w:rsidR="00B27340" w:rsidRPr="00BB7A6F">
        <w:rPr>
          <w:rFonts w:ascii="Times New Roman" w:hAnsi="Times New Roman" w:cs="Times New Roman"/>
          <w:bCs/>
          <w:sz w:val="24"/>
          <w:szCs w:val="24"/>
          <w:lang w:eastAsia="cs-CZ"/>
        </w:rPr>
        <w:t>Prevádzkovateľ distribučnej siete, ktorý na základe rozhodnutia ministerstva plní úlohy plynárenského dispečingu, dodávateľ plynu a chránený odberateľ, ktorí si zabezpečujú dodávky plynu z územia Európskej únie alebo z územia tretích štátov predkladajú ministerstvu každoročne do 31. augusta informácie o zabezpečení štandardu bezpečnosti dodávok plynu na nasledujúce obdobie od 1. novembra do 31. marca. Ak je zabezpečenie štandardu bezpečnosti dodávok plynu nedostatočné, ministerstvo uloží rozhodnutím opatrenia.</w:t>
      </w:r>
    </w:p>
    <w:p w14:paraId="68976D0D" w14:textId="79E5D3CE" w:rsidR="00B27340" w:rsidRPr="00BB7A6F" w:rsidRDefault="00B8646A" w:rsidP="00B27340">
      <w:pPr>
        <w:jc w:val="both"/>
        <w:rPr>
          <w:rFonts w:ascii="Times New Roman" w:hAnsi="Times New Roman" w:cs="Times New Roman"/>
          <w:bCs/>
          <w:sz w:val="24"/>
          <w:szCs w:val="24"/>
          <w:lang w:eastAsia="cs-CZ"/>
        </w:rPr>
      </w:pPr>
      <w:r>
        <w:rPr>
          <w:rFonts w:ascii="Times New Roman" w:hAnsi="Times New Roman" w:cs="Times New Roman"/>
          <w:bCs/>
          <w:sz w:val="24"/>
          <w:szCs w:val="24"/>
          <w:lang w:eastAsia="cs-CZ"/>
        </w:rPr>
        <w:br/>
      </w:r>
      <w:r w:rsidR="00B27340" w:rsidRPr="00BB7A6F">
        <w:rPr>
          <w:rFonts w:ascii="Times New Roman" w:hAnsi="Times New Roman" w:cs="Times New Roman"/>
          <w:bCs/>
          <w:sz w:val="24"/>
          <w:szCs w:val="24"/>
          <w:lang w:eastAsia="cs-CZ"/>
        </w:rPr>
        <w:t>Dodávateľ plynu a odberateľ plynu môžu na základe zmluvy preniesť zodpovednosť za zabezpečenie štandardu bezpečnosti dodávok plynu na iného účastníka trhu s plynom.</w:t>
      </w:r>
    </w:p>
    <w:p w14:paraId="60C6045C" w14:textId="73F15926" w:rsidR="00B27340" w:rsidRPr="00BB7A6F" w:rsidRDefault="00E1031B" w:rsidP="00B27340">
      <w:pPr>
        <w:jc w:val="both"/>
        <w:rPr>
          <w:rFonts w:ascii="Times New Roman" w:hAnsi="Times New Roman" w:cs="Times New Roman"/>
          <w:bCs/>
          <w:color w:val="000000"/>
          <w:sz w:val="24"/>
          <w:lang w:eastAsia="cs-CZ"/>
        </w:rPr>
      </w:pPr>
      <w:r>
        <w:rPr>
          <w:rFonts w:ascii="Times New Roman" w:hAnsi="Times New Roman" w:cs="Times New Roman"/>
          <w:bCs/>
          <w:sz w:val="24"/>
          <w:szCs w:val="24"/>
          <w:lang w:eastAsia="cs-CZ"/>
        </w:rPr>
        <w:br/>
      </w:r>
      <w:r w:rsidR="00B27340" w:rsidRPr="00BB7A6F">
        <w:rPr>
          <w:rFonts w:ascii="Times New Roman" w:hAnsi="Times New Roman" w:cs="Times New Roman"/>
          <w:bCs/>
          <w:sz w:val="24"/>
          <w:szCs w:val="24"/>
          <w:lang w:eastAsia="cs-CZ"/>
        </w:rPr>
        <w:t xml:space="preserve">Sekundárnou právnou normou pre uvedenú problematiku je vyhláška </w:t>
      </w:r>
      <w:r w:rsidR="00B27340" w:rsidRPr="00BB7A6F">
        <w:rPr>
          <w:rFonts w:ascii="Times New Roman" w:hAnsi="Times New Roman" w:cs="Times New Roman"/>
          <w:bCs/>
          <w:color w:val="000000"/>
          <w:sz w:val="24"/>
          <w:lang w:eastAsia="cs-CZ"/>
        </w:rPr>
        <w:t>Ministerstva hospodárstva Slovenskej republiky č. 416/2012 Z. z., ktorou sa ustanovujú podrobnosti o postupe pri uplatňovaní obmedzujúcich opatrení pri stave núdze a o opatreniach zameraných na odstránenie stavu núdze v </w:t>
      </w:r>
      <w:proofErr w:type="spellStart"/>
      <w:r w:rsidR="00B27340" w:rsidRPr="00BB7A6F">
        <w:rPr>
          <w:rFonts w:ascii="Times New Roman" w:hAnsi="Times New Roman" w:cs="Times New Roman"/>
          <w:bCs/>
          <w:color w:val="000000"/>
          <w:sz w:val="24"/>
          <w:lang w:eastAsia="cs-CZ"/>
        </w:rPr>
        <w:t>elektroenergetike</w:t>
      </w:r>
      <w:proofErr w:type="spellEnd"/>
      <w:r w:rsidR="00B27340" w:rsidRPr="00BB7A6F">
        <w:rPr>
          <w:rFonts w:ascii="Times New Roman" w:hAnsi="Times New Roman" w:cs="Times New Roman"/>
          <w:bCs/>
          <w:color w:val="000000"/>
          <w:sz w:val="24"/>
          <w:lang w:eastAsia="cs-CZ"/>
        </w:rPr>
        <w:t xml:space="preserve"> a podrobnosti o postupe pri vyhlasovaní krízovej situácie a jej úrovne, o vyhlasovaní obmedzujúcich opatrení v plynárenstve pre jednotlivé kategórie odberateľov plynu, o opatreniach zameraných na odstránenie krízovej situácie a o spôsobe určenia obmedzujúcich opatrení v plynárenstve a opatrení zameraných na odstránenie krízovej situácie, ktorá nadobudla účinnosť 1. januára 2013.</w:t>
      </w:r>
    </w:p>
    <w:p w14:paraId="135FD49D" w14:textId="0CF5FE2B" w:rsidR="00B27340" w:rsidRPr="00BB7A6F" w:rsidRDefault="00E1031B" w:rsidP="00B27340">
      <w:pPr>
        <w:autoSpaceDE w:val="0"/>
        <w:autoSpaceDN w:val="0"/>
        <w:adjustRightInd w:val="0"/>
        <w:jc w:val="both"/>
        <w:rPr>
          <w:rFonts w:ascii="Times New Roman" w:hAnsi="Times New Roman" w:cs="Times New Roman"/>
          <w:color w:val="000000"/>
          <w:sz w:val="24"/>
          <w:lang w:eastAsia="cs-CZ"/>
        </w:rPr>
      </w:pPr>
      <w:r>
        <w:rPr>
          <w:rFonts w:ascii="Times New Roman" w:hAnsi="Times New Roman" w:cs="Times New Roman"/>
          <w:color w:val="000000"/>
          <w:sz w:val="24"/>
          <w:szCs w:val="21"/>
          <w:lang w:eastAsia="cs-CZ"/>
        </w:rPr>
        <w:br/>
      </w:r>
      <w:r w:rsidR="00B27340" w:rsidRPr="00BB7A6F">
        <w:rPr>
          <w:rFonts w:ascii="Times New Roman" w:hAnsi="Times New Roman" w:cs="Times New Roman"/>
          <w:color w:val="000000"/>
          <w:sz w:val="24"/>
          <w:szCs w:val="21"/>
          <w:lang w:eastAsia="cs-CZ"/>
        </w:rPr>
        <w:t>Vyhláška ustanovuje postup v prípade situácie, že nastane či bude hroziť nedostatok plynu. Opatrenia, ktoré majú prispieť k odstráneniu rozdielu medzi zdrojmi plynu a spotrebou sú definované </w:t>
      </w:r>
      <w:r w:rsidR="00B27340" w:rsidRPr="00BB7A6F">
        <w:rPr>
          <w:rFonts w:ascii="Times New Roman" w:hAnsi="Times New Roman" w:cs="Times New Roman"/>
          <w:color w:val="000000"/>
          <w:sz w:val="24"/>
          <w:lang w:eastAsia="cs-CZ"/>
        </w:rPr>
        <w:t>obmedzujúcimi odberovými stupňami, havarijným odberovým stupňom a obmedzujúcimi vykurovacími krivkami.</w:t>
      </w:r>
    </w:p>
    <w:p w14:paraId="7C085DD7" w14:textId="542478BC" w:rsidR="00B27340" w:rsidRPr="00BB7A6F" w:rsidRDefault="00E1031B" w:rsidP="00B27340">
      <w:pPr>
        <w:jc w:val="both"/>
        <w:rPr>
          <w:rFonts w:ascii="Times New Roman" w:hAnsi="Times New Roman" w:cs="Times New Roman"/>
          <w:color w:val="000000"/>
          <w:sz w:val="24"/>
          <w:lang w:eastAsia="cs-CZ"/>
        </w:rPr>
      </w:pPr>
      <w:r>
        <w:rPr>
          <w:rFonts w:ascii="Times New Roman" w:hAnsi="Times New Roman" w:cs="Times New Roman"/>
          <w:color w:val="000000"/>
          <w:sz w:val="24"/>
          <w:lang w:eastAsia="cs-CZ"/>
        </w:rPr>
        <w:br/>
      </w:r>
      <w:r w:rsidR="00B27340" w:rsidRPr="00BB7A6F">
        <w:rPr>
          <w:rFonts w:ascii="Times New Roman" w:hAnsi="Times New Roman" w:cs="Times New Roman"/>
          <w:color w:val="000000"/>
          <w:sz w:val="24"/>
          <w:lang w:eastAsia="cs-CZ"/>
        </w:rPr>
        <w:t xml:space="preserve">Obmedzujúce odberové stupne sa uplatňujú pre odberateľov, u ktorých viac ako 50% ročného odberu plynu nezávisí od vonkajšej teploty ovzdušia. Vykurovacie krivky sa uplatňujú v prípade, že viac ako 50% ročného odberu závisí od vonkajšej teploty ovzdušia. Havarijný odberový stupeň je </w:t>
      </w:r>
      <w:r w:rsidR="00B27340" w:rsidRPr="00BB7A6F">
        <w:rPr>
          <w:rFonts w:ascii="Times New Roman" w:hAnsi="Times New Roman" w:cs="Times New Roman"/>
          <w:color w:val="000000"/>
          <w:sz w:val="24"/>
          <w:lang w:eastAsia="cs-CZ"/>
        </w:rPr>
        <w:lastRenderedPageBreak/>
        <w:t>špecifickým stupňom, ktorého využitie sa predpokladá len v extrémnych podmienkach a predstavuje nulový odber plynu pre všetkých odberateľov plynu.</w:t>
      </w:r>
    </w:p>
    <w:p w14:paraId="244C3739" w14:textId="16389838" w:rsidR="00B27340" w:rsidRPr="00BB7A6F" w:rsidRDefault="00E1031B" w:rsidP="00B27340">
      <w:pPr>
        <w:jc w:val="both"/>
        <w:rPr>
          <w:rFonts w:ascii="Times New Roman" w:hAnsi="Times New Roman" w:cs="Times New Roman"/>
          <w:color w:val="000000"/>
          <w:sz w:val="24"/>
          <w:lang w:eastAsia="cs-CZ"/>
        </w:rPr>
      </w:pPr>
      <w:r>
        <w:rPr>
          <w:rFonts w:ascii="Times New Roman" w:hAnsi="Times New Roman" w:cs="Times New Roman"/>
          <w:color w:val="000000"/>
          <w:sz w:val="24"/>
          <w:lang w:eastAsia="cs-CZ"/>
        </w:rPr>
        <w:br/>
      </w:r>
      <w:r w:rsidR="00B27340" w:rsidRPr="00BB7A6F">
        <w:rPr>
          <w:rFonts w:ascii="Times New Roman" w:hAnsi="Times New Roman" w:cs="Times New Roman"/>
          <w:color w:val="000000"/>
          <w:sz w:val="24"/>
          <w:lang w:eastAsia="cs-CZ"/>
        </w:rPr>
        <w:t>Aj na základe skúseností vyhláška presne ustanovuje postup pre určenie základného odberového stupňa a obmedzujúcich odberových stupňov resp. základnej vykurovacej krivky a obmedzujúcich vykurovacích kriviek pre jednotlivé kategórie odberateľov.</w:t>
      </w:r>
    </w:p>
    <w:p w14:paraId="6879DA56" w14:textId="1434609B" w:rsidR="00B27340" w:rsidRPr="00BB7A6F" w:rsidRDefault="00E1031B" w:rsidP="00B27340">
      <w:pPr>
        <w:autoSpaceDE w:val="0"/>
        <w:autoSpaceDN w:val="0"/>
        <w:adjustRightInd w:val="0"/>
        <w:jc w:val="both"/>
        <w:rPr>
          <w:rFonts w:ascii="Times New Roman" w:hAnsi="Times New Roman" w:cs="Times New Roman"/>
          <w:color w:val="000000"/>
          <w:sz w:val="24"/>
          <w:lang w:eastAsia="cs-CZ"/>
        </w:rPr>
      </w:pPr>
      <w:r>
        <w:rPr>
          <w:rFonts w:ascii="Times New Roman" w:hAnsi="Times New Roman" w:cs="Times New Roman"/>
          <w:color w:val="000000"/>
          <w:sz w:val="24"/>
          <w:lang w:eastAsia="cs-CZ"/>
        </w:rPr>
        <w:br/>
      </w:r>
      <w:r w:rsidR="00B27340" w:rsidRPr="00BB7A6F">
        <w:rPr>
          <w:rFonts w:ascii="Times New Roman" w:hAnsi="Times New Roman" w:cs="Times New Roman"/>
          <w:color w:val="000000"/>
          <w:sz w:val="24"/>
          <w:lang w:eastAsia="cs-CZ"/>
        </w:rPr>
        <w:t>Opatrenia na odstránenie stavu núdze v plynárenstve sa vykonávajú ako osobitné postupy na obnovenie riadnej prevádzky prepravnej a distribučnej siete v čo najkratšom čase. Pri odstraňovaní stavov núdze postupujú plynárenské podniky podľa schválených havarijných plánov, pokynov nadriadeného plynárenského dispečingu a pokynov vlastného dispečingu.</w:t>
      </w:r>
    </w:p>
    <w:p w14:paraId="6C37C637" w14:textId="386ADFFE" w:rsidR="00B27340" w:rsidRPr="00BB7A6F" w:rsidRDefault="00E1031B" w:rsidP="00B27340">
      <w:pPr>
        <w:jc w:val="both"/>
        <w:rPr>
          <w:rFonts w:ascii="Times New Roman" w:hAnsi="Times New Roman" w:cs="Times New Roman"/>
          <w:bCs/>
          <w:sz w:val="24"/>
          <w:szCs w:val="24"/>
          <w:lang w:eastAsia="cs-CZ"/>
        </w:rPr>
      </w:pPr>
      <w:r>
        <w:rPr>
          <w:rFonts w:ascii="Times New Roman" w:hAnsi="Times New Roman" w:cs="Times New Roman"/>
          <w:bCs/>
          <w:sz w:val="24"/>
          <w:szCs w:val="24"/>
          <w:lang w:eastAsia="cs-CZ"/>
        </w:rPr>
        <w:br/>
      </w:r>
      <w:r w:rsidR="00B27340" w:rsidRPr="00BB7A6F">
        <w:rPr>
          <w:rFonts w:ascii="Times New Roman" w:hAnsi="Times New Roman" w:cs="Times New Roman"/>
          <w:bCs/>
          <w:sz w:val="24"/>
          <w:szCs w:val="24"/>
          <w:lang w:eastAsia="cs-CZ"/>
        </w:rPr>
        <w:t>Ďalšími možnosťami ako prispieť k bezpečnosti dodávky je využívanie LNG, či diverzifikácia dodávok plynu (diverzifikácia dopravných ciest ako aj diverzifikácia zdrojov). V oblasti diverzifikácie sa na základe sprevádzkovania zariadení umožňujúcich reverzný tok plynu z Českej republiky a Rakúska otvorili nové možnosti pre dodávateľov pôsobiacich na Slovensku pre zabezpečenie najmä výpomocných dodávok pre prípad prerušenia dodávky z tradičného zdroja.</w:t>
      </w:r>
    </w:p>
    <w:p w14:paraId="32BC2CDC" w14:textId="77777777" w:rsidR="00B27340" w:rsidRPr="00BB7A6F" w:rsidRDefault="00B27340" w:rsidP="00B27340">
      <w:pPr>
        <w:jc w:val="both"/>
        <w:rPr>
          <w:rFonts w:ascii="Times New Roman" w:hAnsi="Times New Roman" w:cs="Times New Roman"/>
          <w:bCs/>
          <w:sz w:val="24"/>
          <w:szCs w:val="24"/>
          <w:lang w:eastAsia="cs-CZ"/>
        </w:rPr>
      </w:pPr>
    </w:p>
    <w:p w14:paraId="7811B794" w14:textId="77777777" w:rsidR="00B27340" w:rsidRPr="00BB7A6F" w:rsidRDefault="00B27340" w:rsidP="00B27340">
      <w:pPr>
        <w:jc w:val="both"/>
        <w:rPr>
          <w:rFonts w:ascii="Times New Roman" w:hAnsi="Times New Roman" w:cs="Times New Roman"/>
          <w:bCs/>
          <w:sz w:val="24"/>
          <w:szCs w:val="24"/>
          <w:lang w:eastAsia="cs-CZ"/>
        </w:rPr>
      </w:pPr>
      <w:r w:rsidRPr="00BB7A6F">
        <w:rPr>
          <w:rFonts w:ascii="Times New Roman" w:hAnsi="Times New Roman" w:cs="Times New Roman"/>
          <w:bCs/>
          <w:sz w:val="24"/>
          <w:szCs w:val="24"/>
          <w:lang w:eastAsia="cs-CZ"/>
        </w:rPr>
        <w:t>V súčasnom období nie je na území Slovenska prevádzkované žiadne zariadenie LNG a ani v horizonte najbližších 3 rokov sa s využívaním takýchto zariadení neuvažuje.</w:t>
      </w:r>
    </w:p>
    <w:p w14:paraId="12CAA259" w14:textId="03A9AC30" w:rsidR="00B27340" w:rsidRPr="00BB7A6F" w:rsidRDefault="00F27DBD" w:rsidP="00B27340">
      <w:pPr>
        <w:jc w:val="both"/>
        <w:rPr>
          <w:rFonts w:ascii="Times New Roman" w:hAnsi="Times New Roman" w:cs="Times New Roman"/>
          <w:bCs/>
          <w:sz w:val="24"/>
          <w:szCs w:val="16"/>
          <w:lang w:eastAsia="cs-CZ"/>
        </w:rPr>
      </w:pPr>
      <w:r>
        <w:rPr>
          <w:rFonts w:ascii="Times New Roman" w:hAnsi="Times New Roman" w:cs="Times New Roman"/>
          <w:bCs/>
          <w:sz w:val="24"/>
          <w:szCs w:val="16"/>
          <w:lang w:eastAsia="cs-CZ"/>
        </w:rPr>
        <w:br/>
      </w:r>
      <w:r w:rsidR="00B27340" w:rsidRPr="00BB7A6F">
        <w:rPr>
          <w:rFonts w:ascii="Times New Roman" w:hAnsi="Times New Roman" w:cs="Times New Roman"/>
          <w:bCs/>
          <w:sz w:val="24"/>
          <w:szCs w:val="16"/>
          <w:lang w:eastAsia="cs-CZ"/>
        </w:rPr>
        <w:t xml:space="preserve">Významným je pre Slovenskú republiku rakúsky plynárenský uzol </w:t>
      </w:r>
      <w:proofErr w:type="spellStart"/>
      <w:r w:rsidR="00B27340" w:rsidRPr="00BB7A6F">
        <w:rPr>
          <w:rFonts w:ascii="Times New Roman" w:hAnsi="Times New Roman" w:cs="Times New Roman"/>
          <w:bCs/>
          <w:sz w:val="24"/>
          <w:szCs w:val="16"/>
          <w:lang w:eastAsia="cs-CZ"/>
        </w:rPr>
        <w:t>Baumgarten</w:t>
      </w:r>
      <w:proofErr w:type="spellEnd"/>
      <w:r w:rsidR="00B27340" w:rsidRPr="00BB7A6F">
        <w:rPr>
          <w:rFonts w:ascii="Times New Roman" w:hAnsi="Times New Roman" w:cs="Times New Roman"/>
          <w:bCs/>
          <w:sz w:val="24"/>
          <w:szCs w:val="16"/>
          <w:lang w:eastAsia="cs-CZ"/>
        </w:rPr>
        <w:t>, ktorý sa nachádza neďaleko od spoločnej hranice. Ďalšiu alternatívu pre región predstavujú plánované projekty plynovodov, ktoré majú zabezpečiť dodávky plynu tzv. Južným koridorom z oblastí, v ktorých sú dostupné nové zdroje zemného plynu. Niektoré projekty plynovodov počítajú s ukončením práve v </w:t>
      </w:r>
      <w:proofErr w:type="spellStart"/>
      <w:r w:rsidR="00B27340" w:rsidRPr="00BB7A6F">
        <w:rPr>
          <w:rFonts w:ascii="Times New Roman" w:hAnsi="Times New Roman" w:cs="Times New Roman"/>
          <w:bCs/>
          <w:sz w:val="24"/>
          <w:szCs w:val="16"/>
          <w:lang w:eastAsia="cs-CZ"/>
        </w:rPr>
        <w:t>Baumgartene</w:t>
      </w:r>
      <w:proofErr w:type="spellEnd"/>
      <w:r w:rsidR="00B27340" w:rsidRPr="00BB7A6F">
        <w:rPr>
          <w:rFonts w:ascii="Times New Roman" w:hAnsi="Times New Roman" w:cs="Times New Roman"/>
          <w:bCs/>
          <w:sz w:val="24"/>
          <w:szCs w:val="16"/>
          <w:lang w:eastAsia="cs-CZ"/>
        </w:rPr>
        <w:t>, s ktorým existuje vzájomné prepojenie, pričom už v súčasnosti je možné využívať aj reverzný tok plynu v smere z Rakúska na Slovensko.</w:t>
      </w:r>
    </w:p>
    <w:p w14:paraId="088DBAAE" w14:textId="771FEA43" w:rsidR="00B27340" w:rsidRPr="00BB7A6F" w:rsidRDefault="00E1031B" w:rsidP="00B27340">
      <w:pPr>
        <w:jc w:val="both"/>
        <w:rPr>
          <w:rFonts w:ascii="Times New Roman" w:hAnsi="Times New Roman" w:cs="Times New Roman"/>
          <w:bCs/>
          <w:sz w:val="24"/>
          <w:szCs w:val="16"/>
          <w:lang w:eastAsia="cs-CZ"/>
        </w:rPr>
      </w:pPr>
      <w:r>
        <w:rPr>
          <w:rFonts w:ascii="Times New Roman" w:hAnsi="Times New Roman" w:cs="Times New Roman"/>
          <w:bCs/>
          <w:sz w:val="24"/>
          <w:szCs w:val="16"/>
          <w:lang w:eastAsia="cs-CZ"/>
        </w:rPr>
        <w:br/>
      </w:r>
      <w:r w:rsidR="00B27340" w:rsidRPr="00BB7A6F">
        <w:rPr>
          <w:rFonts w:ascii="Times New Roman" w:hAnsi="Times New Roman" w:cs="Times New Roman"/>
          <w:bCs/>
          <w:sz w:val="24"/>
          <w:szCs w:val="16"/>
          <w:lang w:eastAsia="cs-CZ"/>
        </w:rPr>
        <w:t>V zmysle príslušných ustanovení nariadenia členský štát musí spĺňať štandard dodávky a štandard infraštruktúry. Na základe prijatých legislatívnych opatrení po plynovej kríze Slovensko štandard dodávky pre chránených odberateľov spĺňalo už od roku 2009. Štandard infraštruktúry stanovuje, že parameter N – 1 musí byť väčší ako 100%. Na základe výpočtu podľa vzorca, do ktorého vstupujú parametre ako sú technická kapacita vstupných bodov (</w:t>
      </w:r>
      <w:proofErr w:type="spellStart"/>
      <w:r w:rsidR="00B27340" w:rsidRPr="00BB7A6F">
        <w:rPr>
          <w:rFonts w:ascii="Times New Roman" w:hAnsi="Times New Roman" w:cs="Times New Roman"/>
          <w:bCs/>
          <w:sz w:val="24"/>
          <w:szCs w:val="24"/>
          <w:lang w:eastAsia="cs-CZ"/>
        </w:rPr>
        <w:t>EP</w:t>
      </w:r>
      <w:r w:rsidR="00B27340" w:rsidRPr="00BB7A6F">
        <w:rPr>
          <w:rFonts w:ascii="Times New Roman" w:hAnsi="Times New Roman" w:cs="Times New Roman"/>
          <w:bCs/>
          <w:sz w:val="24"/>
          <w:szCs w:val="24"/>
          <w:vertAlign w:val="subscript"/>
          <w:lang w:eastAsia="cs-CZ"/>
        </w:rPr>
        <w:t>m</w:t>
      </w:r>
      <w:proofErr w:type="spellEnd"/>
      <w:r w:rsidR="00B27340" w:rsidRPr="00BB7A6F">
        <w:rPr>
          <w:rFonts w:ascii="Times New Roman" w:hAnsi="Times New Roman" w:cs="Times New Roman"/>
          <w:bCs/>
          <w:sz w:val="24"/>
          <w:szCs w:val="24"/>
          <w:lang w:eastAsia="cs-CZ"/>
        </w:rPr>
        <w:t>)</w:t>
      </w:r>
      <w:r w:rsidR="00B27340" w:rsidRPr="00BB7A6F">
        <w:rPr>
          <w:rFonts w:ascii="Times New Roman" w:hAnsi="Times New Roman" w:cs="Times New Roman"/>
          <w:bCs/>
          <w:sz w:val="24"/>
          <w:szCs w:val="16"/>
          <w:lang w:eastAsia="cs-CZ"/>
        </w:rPr>
        <w:t>, maximálna technická kapacita výroby plynu (</w:t>
      </w:r>
      <w:proofErr w:type="spellStart"/>
      <w:r w:rsidR="00B27340" w:rsidRPr="00BB7A6F">
        <w:rPr>
          <w:rFonts w:ascii="Times New Roman" w:hAnsi="Times New Roman" w:cs="Times New Roman"/>
          <w:bCs/>
          <w:sz w:val="24"/>
          <w:szCs w:val="24"/>
          <w:lang w:eastAsia="cs-CZ"/>
        </w:rPr>
        <w:t>P</w:t>
      </w:r>
      <w:r w:rsidR="00B27340" w:rsidRPr="00BB7A6F">
        <w:rPr>
          <w:rFonts w:ascii="Times New Roman" w:hAnsi="Times New Roman" w:cs="Times New Roman"/>
          <w:bCs/>
          <w:sz w:val="24"/>
          <w:szCs w:val="24"/>
          <w:vertAlign w:val="subscript"/>
          <w:lang w:eastAsia="cs-CZ"/>
        </w:rPr>
        <w:t>m</w:t>
      </w:r>
      <w:proofErr w:type="spellEnd"/>
      <w:r w:rsidR="00B27340" w:rsidRPr="00BB7A6F">
        <w:rPr>
          <w:rFonts w:ascii="Times New Roman" w:hAnsi="Times New Roman" w:cs="Times New Roman"/>
          <w:bCs/>
          <w:sz w:val="24"/>
          <w:szCs w:val="16"/>
          <w:lang w:eastAsia="cs-CZ"/>
        </w:rPr>
        <w:t>), maximálny technický ťažobný výkon zásobníkov (</w:t>
      </w:r>
      <w:proofErr w:type="spellStart"/>
      <w:r w:rsidR="00B27340" w:rsidRPr="00BB7A6F">
        <w:rPr>
          <w:rFonts w:ascii="Times New Roman" w:eastAsia="Calibri" w:hAnsi="Times New Roman" w:cs="Times New Roman"/>
          <w:sz w:val="24"/>
          <w:szCs w:val="24"/>
        </w:rPr>
        <w:t>S</w:t>
      </w:r>
      <w:r w:rsidR="00B27340" w:rsidRPr="00BB7A6F">
        <w:rPr>
          <w:rFonts w:ascii="Times New Roman" w:eastAsia="Calibri" w:hAnsi="Times New Roman" w:cs="Times New Roman"/>
          <w:sz w:val="24"/>
          <w:szCs w:val="24"/>
          <w:vertAlign w:val="subscript"/>
        </w:rPr>
        <w:t>m</w:t>
      </w:r>
      <w:proofErr w:type="spellEnd"/>
      <w:r w:rsidR="00B27340" w:rsidRPr="00BB7A6F">
        <w:rPr>
          <w:rFonts w:ascii="Times New Roman" w:hAnsi="Times New Roman" w:cs="Times New Roman"/>
          <w:bCs/>
          <w:sz w:val="24"/>
          <w:szCs w:val="16"/>
          <w:lang w:eastAsia="cs-CZ"/>
        </w:rPr>
        <w:t>), technická kapacita samostatnej najväčšej plynárenskej infraštruktúry (</w:t>
      </w:r>
      <w:r w:rsidR="00B27340" w:rsidRPr="00BB7A6F">
        <w:rPr>
          <w:rFonts w:ascii="Times New Roman" w:eastAsia="Calibri" w:hAnsi="Times New Roman" w:cs="Times New Roman"/>
          <w:sz w:val="24"/>
          <w:szCs w:val="24"/>
        </w:rPr>
        <w:t>I</w:t>
      </w:r>
      <w:r w:rsidR="00B27340" w:rsidRPr="00BB7A6F">
        <w:rPr>
          <w:rFonts w:ascii="Times New Roman" w:eastAsia="Calibri" w:hAnsi="Times New Roman" w:cs="Times New Roman"/>
          <w:sz w:val="24"/>
          <w:szCs w:val="24"/>
          <w:vertAlign w:val="subscript"/>
        </w:rPr>
        <w:t>m</w:t>
      </w:r>
      <w:r w:rsidR="00B27340" w:rsidRPr="00BB7A6F">
        <w:rPr>
          <w:rFonts w:ascii="Times New Roman" w:hAnsi="Times New Roman" w:cs="Times New Roman"/>
          <w:bCs/>
          <w:sz w:val="24"/>
          <w:szCs w:val="16"/>
          <w:lang w:eastAsia="cs-CZ"/>
        </w:rPr>
        <w:t>) a celková denná spotreba plynu pre prípad výnimočne vysokej spotreby (</w:t>
      </w:r>
      <w:proofErr w:type="spellStart"/>
      <w:r w:rsidR="00B27340" w:rsidRPr="00BB7A6F">
        <w:rPr>
          <w:rFonts w:ascii="Times New Roman" w:eastAsia="Calibri" w:hAnsi="Times New Roman" w:cs="Times New Roman"/>
          <w:sz w:val="24"/>
          <w:szCs w:val="24"/>
        </w:rPr>
        <w:t>D</w:t>
      </w:r>
      <w:r w:rsidR="00B27340" w:rsidRPr="00BB7A6F">
        <w:rPr>
          <w:rFonts w:ascii="Times New Roman" w:eastAsia="Calibri" w:hAnsi="Times New Roman" w:cs="Times New Roman"/>
          <w:sz w:val="24"/>
          <w:szCs w:val="24"/>
          <w:vertAlign w:val="subscript"/>
        </w:rPr>
        <w:t>max</w:t>
      </w:r>
      <w:proofErr w:type="spellEnd"/>
      <w:r w:rsidR="00B27340" w:rsidRPr="00BB7A6F">
        <w:rPr>
          <w:rFonts w:ascii="Times New Roman" w:hAnsi="Times New Roman" w:cs="Times New Roman"/>
          <w:bCs/>
          <w:sz w:val="24"/>
          <w:szCs w:val="16"/>
          <w:lang w:eastAsia="cs-CZ"/>
        </w:rPr>
        <w:t>), je možné konštatovať, že stanovenú požiadavku pre parameter N – 1 – t.j. štandard infraštruktúry – Slovensko spĺňa.</w:t>
      </w:r>
    </w:p>
    <w:p w14:paraId="570F7990" w14:textId="04F290B0" w:rsidR="00B27340" w:rsidRPr="00BB7A6F" w:rsidRDefault="00EB6633" w:rsidP="00B27340">
      <w:pPr>
        <w:jc w:val="both"/>
        <w:rPr>
          <w:rFonts w:ascii="Times New Roman" w:hAnsi="Times New Roman" w:cs="Times New Roman"/>
          <w:bCs/>
          <w:sz w:val="24"/>
          <w:szCs w:val="16"/>
          <w:lang w:eastAsia="cs-CZ"/>
        </w:rPr>
      </w:pPr>
      <w:r>
        <w:rPr>
          <w:rFonts w:ascii="Times New Roman" w:hAnsi="Times New Roman" w:cs="Times New Roman"/>
          <w:bCs/>
          <w:sz w:val="24"/>
          <w:szCs w:val="16"/>
          <w:lang w:eastAsia="cs-CZ"/>
        </w:rPr>
        <w:lastRenderedPageBreak/>
        <w:br/>
      </w:r>
      <w:r w:rsidR="00E1031B">
        <w:rPr>
          <w:rFonts w:ascii="Times New Roman" w:hAnsi="Times New Roman" w:cs="Times New Roman"/>
          <w:bCs/>
          <w:sz w:val="24"/>
          <w:szCs w:val="16"/>
          <w:lang w:eastAsia="cs-CZ"/>
        </w:rPr>
        <w:br/>
      </w:r>
      <w:r w:rsidR="00B27340" w:rsidRPr="00BB7A6F">
        <w:rPr>
          <w:rFonts w:ascii="Times New Roman" w:hAnsi="Times New Roman" w:cs="Times New Roman"/>
          <w:bCs/>
          <w:sz w:val="24"/>
          <w:szCs w:val="16"/>
          <w:lang w:eastAsia="cs-CZ"/>
        </w:rPr>
        <w:t>Výpočet parametra N – 1 pred zimnou sezónou 2019/2020:</w:t>
      </w:r>
    </w:p>
    <w:p w14:paraId="07B76674" w14:textId="77777777" w:rsidR="00B27340" w:rsidRPr="004C7A1E" w:rsidRDefault="00B27340" w:rsidP="00B27340">
      <w:pPr>
        <w:jc w:val="both"/>
        <w:rPr>
          <w:bCs/>
          <w:sz w:val="16"/>
          <w:szCs w:val="16"/>
          <w:lang w:eastAsia="cs-CZ"/>
        </w:rPr>
      </w:pPr>
    </w:p>
    <w:tbl>
      <w:tblPr>
        <w:tblW w:w="0" w:type="auto"/>
        <w:jc w:val="center"/>
        <w:tblLook w:val="04A0" w:firstRow="1" w:lastRow="0" w:firstColumn="1" w:lastColumn="0" w:noHBand="0" w:noVBand="1"/>
      </w:tblPr>
      <w:tblGrid>
        <w:gridCol w:w="1308"/>
        <w:gridCol w:w="2739"/>
        <w:gridCol w:w="715"/>
      </w:tblGrid>
      <w:tr w:rsidR="00B27340" w:rsidRPr="00BB7A6F" w14:paraId="79F5F6C5" w14:textId="77777777" w:rsidTr="00B27340">
        <w:trPr>
          <w:jc w:val="center"/>
        </w:trPr>
        <w:tc>
          <w:tcPr>
            <w:tcW w:w="0" w:type="auto"/>
            <w:vMerge w:val="restart"/>
            <w:shd w:val="clear" w:color="auto" w:fill="auto"/>
            <w:vAlign w:val="center"/>
          </w:tcPr>
          <w:p w14:paraId="21E21B27" w14:textId="77777777" w:rsidR="00B27340" w:rsidRPr="00BB7A6F" w:rsidRDefault="00B27340" w:rsidP="00B27340">
            <w:pPr>
              <w:ind w:right="-57"/>
              <w:jc w:val="right"/>
              <w:rPr>
                <w:rFonts w:ascii="Times New Roman" w:eastAsia="Calibri" w:hAnsi="Times New Roman" w:cs="Times New Roman"/>
                <w:sz w:val="24"/>
                <w:szCs w:val="24"/>
              </w:rPr>
            </w:pPr>
            <w:r w:rsidRPr="00BB7A6F">
              <w:rPr>
                <w:rFonts w:ascii="Times New Roman" w:eastAsia="Calibri" w:hAnsi="Times New Roman" w:cs="Times New Roman"/>
                <w:sz w:val="24"/>
                <w:szCs w:val="24"/>
              </w:rPr>
              <w:t>N – 1 [%] =</w:t>
            </w:r>
          </w:p>
        </w:tc>
        <w:tc>
          <w:tcPr>
            <w:tcW w:w="0" w:type="auto"/>
            <w:tcBorders>
              <w:bottom w:val="single" w:sz="8" w:space="0" w:color="auto"/>
            </w:tcBorders>
            <w:shd w:val="clear" w:color="auto" w:fill="auto"/>
          </w:tcPr>
          <w:p w14:paraId="7A3864AE" w14:textId="77777777" w:rsidR="00B27340" w:rsidRPr="00BB7A6F" w:rsidRDefault="00B27340" w:rsidP="00B27340">
            <w:pPr>
              <w:ind w:left="-113" w:right="-113"/>
              <w:jc w:val="center"/>
              <w:rPr>
                <w:rFonts w:ascii="Times New Roman" w:eastAsia="Calibri" w:hAnsi="Times New Roman" w:cs="Times New Roman"/>
                <w:sz w:val="24"/>
                <w:szCs w:val="24"/>
                <w:vertAlign w:val="subscript"/>
              </w:rPr>
            </w:pPr>
            <w:proofErr w:type="spellStart"/>
            <w:r w:rsidRPr="00BB7A6F">
              <w:rPr>
                <w:rFonts w:ascii="Times New Roman" w:eastAsia="Calibri" w:hAnsi="Times New Roman" w:cs="Times New Roman"/>
                <w:sz w:val="24"/>
                <w:szCs w:val="24"/>
              </w:rPr>
              <w:t>EP</w:t>
            </w:r>
            <w:r w:rsidRPr="00BB7A6F">
              <w:rPr>
                <w:rFonts w:ascii="Times New Roman" w:eastAsia="Calibri" w:hAnsi="Times New Roman" w:cs="Times New Roman"/>
                <w:sz w:val="24"/>
                <w:szCs w:val="24"/>
                <w:vertAlign w:val="subscript"/>
              </w:rPr>
              <w:t>m</w:t>
            </w:r>
            <w:proofErr w:type="spellEnd"/>
            <w:r w:rsidRPr="00BB7A6F">
              <w:rPr>
                <w:rFonts w:ascii="Times New Roman" w:eastAsia="Calibri" w:hAnsi="Times New Roman" w:cs="Times New Roman"/>
                <w:sz w:val="24"/>
                <w:szCs w:val="24"/>
              </w:rPr>
              <w:t xml:space="preserve"> + </w:t>
            </w:r>
            <w:proofErr w:type="spellStart"/>
            <w:r w:rsidRPr="00BB7A6F">
              <w:rPr>
                <w:rFonts w:ascii="Times New Roman" w:eastAsia="Calibri" w:hAnsi="Times New Roman" w:cs="Times New Roman"/>
                <w:sz w:val="24"/>
                <w:szCs w:val="24"/>
              </w:rPr>
              <w:t>P</w:t>
            </w:r>
            <w:r w:rsidRPr="00BB7A6F">
              <w:rPr>
                <w:rFonts w:ascii="Times New Roman" w:eastAsia="Calibri" w:hAnsi="Times New Roman" w:cs="Times New Roman"/>
                <w:sz w:val="24"/>
                <w:szCs w:val="24"/>
                <w:vertAlign w:val="subscript"/>
              </w:rPr>
              <w:t>m</w:t>
            </w:r>
            <w:proofErr w:type="spellEnd"/>
            <w:r w:rsidRPr="00BB7A6F">
              <w:rPr>
                <w:rFonts w:ascii="Times New Roman" w:eastAsia="Calibri" w:hAnsi="Times New Roman" w:cs="Times New Roman"/>
                <w:sz w:val="24"/>
                <w:szCs w:val="24"/>
              </w:rPr>
              <w:t xml:space="preserve"> + </w:t>
            </w:r>
            <w:proofErr w:type="spellStart"/>
            <w:r w:rsidRPr="00BB7A6F">
              <w:rPr>
                <w:rFonts w:ascii="Times New Roman" w:eastAsia="Calibri" w:hAnsi="Times New Roman" w:cs="Times New Roman"/>
                <w:sz w:val="24"/>
                <w:szCs w:val="24"/>
              </w:rPr>
              <w:t>S</w:t>
            </w:r>
            <w:r w:rsidRPr="00BB7A6F">
              <w:rPr>
                <w:rFonts w:ascii="Times New Roman" w:eastAsia="Calibri" w:hAnsi="Times New Roman" w:cs="Times New Roman"/>
                <w:sz w:val="24"/>
                <w:szCs w:val="24"/>
                <w:vertAlign w:val="subscript"/>
              </w:rPr>
              <w:t>m</w:t>
            </w:r>
            <w:proofErr w:type="spellEnd"/>
            <w:r w:rsidRPr="00BB7A6F">
              <w:rPr>
                <w:rFonts w:ascii="Times New Roman" w:eastAsia="Calibri" w:hAnsi="Times New Roman" w:cs="Times New Roman"/>
                <w:sz w:val="24"/>
                <w:szCs w:val="24"/>
              </w:rPr>
              <w:t xml:space="preserve"> + </w:t>
            </w:r>
            <w:proofErr w:type="spellStart"/>
            <w:r w:rsidRPr="00BB7A6F">
              <w:rPr>
                <w:rFonts w:ascii="Times New Roman" w:eastAsia="Calibri" w:hAnsi="Times New Roman" w:cs="Times New Roman"/>
                <w:sz w:val="24"/>
                <w:szCs w:val="24"/>
              </w:rPr>
              <w:t>LNG</w:t>
            </w:r>
            <w:r w:rsidRPr="00BB7A6F">
              <w:rPr>
                <w:rFonts w:ascii="Times New Roman" w:eastAsia="Calibri" w:hAnsi="Times New Roman" w:cs="Times New Roman"/>
                <w:sz w:val="24"/>
                <w:szCs w:val="24"/>
                <w:vertAlign w:val="subscript"/>
              </w:rPr>
              <w:t>m</w:t>
            </w:r>
            <w:proofErr w:type="spellEnd"/>
            <w:r w:rsidRPr="00BB7A6F">
              <w:rPr>
                <w:rFonts w:ascii="Times New Roman" w:eastAsia="Calibri" w:hAnsi="Times New Roman" w:cs="Times New Roman"/>
                <w:sz w:val="24"/>
                <w:szCs w:val="24"/>
              </w:rPr>
              <w:t xml:space="preserve"> – I</w:t>
            </w:r>
            <w:r w:rsidRPr="00BB7A6F">
              <w:rPr>
                <w:rFonts w:ascii="Times New Roman" w:eastAsia="Calibri" w:hAnsi="Times New Roman" w:cs="Times New Roman"/>
                <w:sz w:val="24"/>
                <w:szCs w:val="24"/>
                <w:vertAlign w:val="subscript"/>
              </w:rPr>
              <w:t>m</w:t>
            </w:r>
          </w:p>
        </w:tc>
        <w:tc>
          <w:tcPr>
            <w:tcW w:w="0" w:type="auto"/>
            <w:vMerge w:val="restart"/>
            <w:shd w:val="clear" w:color="auto" w:fill="auto"/>
            <w:vAlign w:val="center"/>
          </w:tcPr>
          <w:p w14:paraId="607B6C48" w14:textId="77777777" w:rsidR="00B27340" w:rsidRPr="00BB7A6F" w:rsidRDefault="00B27340" w:rsidP="00B27340">
            <w:pPr>
              <w:ind w:left="-57"/>
              <w:rPr>
                <w:rFonts w:ascii="Times New Roman" w:eastAsia="Calibri" w:hAnsi="Times New Roman" w:cs="Times New Roman"/>
                <w:sz w:val="24"/>
                <w:szCs w:val="24"/>
              </w:rPr>
            </w:pPr>
            <w:r w:rsidRPr="00BB7A6F">
              <w:rPr>
                <w:rFonts w:ascii="Times New Roman" w:eastAsia="Calibri" w:hAnsi="Times New Roman" w:cs="Times New Roman"/>
                <w:sz w:val="24"/>
                <w:szCs w:val="24"/>
              </w:rPr>
              <w:t>× 100</w:t>
            </w:r>
          </w:p>
        </w:tc>
      </w:tr>
      <w:tr w:rsidR="00B27340" w:rsidRPr="00BB7A6F" w14:paraId="659266ED" w14:textId="77777777" w:rsidTr="00B27340">
        <w:trPr>
          <w:jc w:val="center"/>
        </w:trPr>
        <w:tc>
          <w:tcPr>
            <w:tcW w:w="0" w:type="auto"/>
            <w:vMerge/>
            <w:shd w:val="clear" w:color="auto" w:fill="auto"/>
          </w:tcPr>
          <w:p w14:paraId="6C08E3FE" w14:textId="77777777" w:rsidR="00B27340" w:rsidRPr="00BB7A6F" w:rsidRDefault="00B27340" w:rsidP="00B27340">
            <w:pPr>
              <w:jc w:val="center"/>
              <w:rPr>
                <w:rFonts w:ascii="Times New Roman" w:eastAsia="Calibri" w:hAnsi="Times New Roman" w:cs="Times New Roman"/>
                <w:sz w:val="24"/>
                <w:szCs w:val="24"/>
              </w:rPr>
            </w:pPr>
          </w:p>
        </w:tc>
        <w:tc>
          <w:tcPr>
            <w:tcW w:w="0" w:type="auto"/>
            <w:tcBorders>
              <w:top w:val="single" w:sz="8" w:space="0" w:color="auto"/>
            </w:tcBorders>
            <w:shd w:val="clear" w:color="auto" w:fill="auto"/>
          </w:tcPr>
          <w:p w14:paraId="2C1F6DDA" w14:textId="77777777" w:rsidR="00B27340" w:rsidRPr="00BB7A6F" w:rsidRDefault="00B27340" w:rsidP="00B27340">
            <w:pPr>
              <w:jc w:val="center"/>
              <w:rPr>
                <w:rFonts w:ascii="Times New Roman" w:eastAsia="Calibri" w:hAnsi="Times New Roman" w:cs="Times New Roman"/>
                <w:sz w:val="24"/>
                <w:szCs w:val="24"/>
                <w:vertAlign w:val="subscript"/>
              </w:rPr>
            </w:pPr>
            <w:proofErr w:type="spellStart"/>
            <w:r w:rsidRPr="00BB7A6F">
              <w:rPr>
                <w:rFonts w:ascii="Times New Roman" w:eastAsia="Calibri" w:hAnsi="Times New Roman" w:cs="Times New Roman"/>
                <w:sz w:val="24"/>
                <w:szCs w:val="24"/>
              </w:rPr>
              <w:t>D</w:t>
            </w:r>
            <w:r w:rsidRPr="00BB7A6F">
              <w:rPr>
                <w:rFonts w:ascii="Times New Roman" w:eastAsia="Calibri" w:hAnsi="Times New Roman" w:cs="Times New Roman"/>
                <w:sz w:val="24"/>
                <w:szCs w:val="24"/>
                <w:vertAlign w:val="subscript"/>
              </w:rPr>
              <w:t>max</w:t>
            </w:r>
            <w:proofErr w:type="spellEnd"/>
          </w:p>
        </w:tc>
        <w:tc>
          <w:tcPr>
            <w:tcW w:w="0" w:type="auto"/>
            <w:vMerge/>
            <w:shd w:val="clear" w:color="auto" w:fill="auto"/>
          </w:tcPr>
          <w:p w14:paraId="4CC6114C" w14:textId="77777777" w:rsidR="00B27340" w:rsidRPr="00BB7A6F" w:rsidRDefault="00B27340" w:rsidP="00B27340">
            <w:pPr>
              <w:jc w:val="center"/>
              <w:rPr>
                <w:rFonts w:ascii="Times New Roman" w:eastAsia="Calibri" w:hAnsi="Times New Roman" w:cs="Times New Roman"/>
                <w:sz w:val="24"/>
                <w:szCs w:val="24"/>
              </w:rPr>
            </w:pPr>
          </w:p>
        </w:tc>
      </w:tr>
    </w:tbl>
    <w:p w14:paraId="3C837587" w14:textId="77777777" w:rsidR="00B27340" w:rsidRPr="00BB7A6F" w:rsidRDefault="00B27340" w:rsidP="00B27340">
      <w:pPr>
        <w:jc w:val="center"/>
        <w:rPr>
          <w:rFonts w:ascii="Times New Roman" w:hAnsi="Times New Roman" w:cs="Times New Roman"/>
          <w:sz w:val="24"/>
          <w:szCs w:val="24"/>
          <w:lang w:eastAsia="cs-CZ"/>
        </w:rPr>
      </w:pPr>
    </w:p>
    <w:tbl>
      <w:tblPr>
        <w:tblW w:w="0" w:type="auto"/>
        <w:jc w:val="center"/>
        <w:tblLook w:val="04A0" w:firstRow="1" w:lastRow="0" w:firstColumn="1" w:lastColumn="0" w:noHBand="0" w:noVBand="1"/>
      </w:tblPr>
      <w:tblGrid>
        <w:gridCol w:w="1308"/>
        <w:gridCol w:w="3097"/>
        <w:gridCol w:w="715"/>
      </w:tblGrid>
      <w:tr w:rsidR="00B27340" w:rsidRPr="00BB7A6F" w14:paraId="2E78ACDE" w14:textId="77777777" w:rsidTr="00B27340">
        <w:trPr>
          <w:jc w:val="center"/>
        </w:trPr>
        <w:tc>
          <w:tcPr>
            <w:tcW w:w="0" w:type="auto"/>
            <w:vMerge w:val="restart"/>
            <w:shd w:val="clear" w:color="auto" w:fill="auto"/>
            <w:vAlign w:val="center"/>
          </w:tcPr>
          <w:p w14:paraId="1A40974F" w14:textId="77777777" w:rsidR="00B27340" w:rsidRPr="00BB7A6F" w:rsidRDefault="00B27340" w:rsidP="00B27340">
            <w:pPr>
              <w:ind w:right="-57"/>
              <w:jc w:val="right"/>
              <w:rPr>
                <w:rFonts w:ascii="Times New Roman" w:eastAsia="Calibri" w:hAnsi="Times New Roman" w:cs="Times New Roman"/>
                <w:sz w:val="24"/>
                <w:szCs w:val="24"/>
                <w:lang w:eastAsia="cs-CZ"/>
              </w:rPr>
            </w:pPr>
            <w:r w:rsidRPr="00BB7A6F">
              <w:rPr>
                <w:rFonts w:ascii="Times New Roman" w:eastAsia="Calibri" w:hAnsi="Times New Roman" w:cs="Times New Roman"/>
                <w:sz w:val="24"/>
                <w:szCs w:val="24"/>
                <w:lang w:eastAsia="cs-CZ"/>
              </w:rPr>
              <w:t>N – 1 [%] =</w:t>
            </w:r>
          </w:p>
        </w:tc>
        <w:tc>
          <w:tcPr>
            <w:tcW w:w="0" w:type="auto"/>
            <w:tcBorders>
              <w:bottom w:val="single" w:sz="8" w:space="0" w:color="auto"/>
            </w:tcBorders>
            <w:shd w:val="clear" w:color="auto" w:fill="auto"/>
          </w:tcPr>
          <w:p w14:paraId="3AF96E51" w14:textId="77777777" w:rsidR="00B27340" w:rsidRPr="00BB7A6F" w:rsidRDefault="00B27340" w:rsidP="00B27340">
            <w:pPr>
              <w:ind w:left="-113" w:right="-113"/>
              <w:jc w:val="center"/>
              <w:rPr>
                <w:rFonts w:ascii="Times New Roman" w:eastAsia="Calibri" w:hAnsi="Times New Roman" w:cs="Times New Roman"/>
                <w:sz w:val="24"/>
                <w:szCs w:val="24"/>
                <w:lang w:eastAsia="cs-CZ"/>
              </w:rPr>
            </w:pPr>
            <w:r w:rsidRPr="00BB7A6F">
              <w:rPr>
                <w:rFonts w:ascii="Times New Roman" w:eastAsia="Calibri" w:hAnsi="Times New Roman" w:cs="Times New Roman"/>
                <w:sz w:val="24"/>
                <w:szCs w:val="24"/>
                <w:lang w:eastAsia="cs-CZ"/>
              </w:rPr>
              <w:t>297,1 + 0,2 + 52,3 + 0,0 – 181,6</w:t>
            </w:r>
          </w:p>
        </w:tc>
        <w:tc>
          <w:tcPr>
            <w:tcW w:w="0" w:type="auto"/>
            <w:vMerge w:val="restart"/>
            <w:shd w:val="clear" w:color="auto" w:fill="auto"/>
            <w:vAlign w:val="center"/>
          </w:tcPr>
          <w:p w14:paraId="0E09F13F" w14:textId="77777777" w:rsidR="00B27340" w:rsidRPr="00BB7A6F" w:rsidRDefault="00B27340" w:rsidP="00B27340">
            <w:pPr>
              <w:ind w:left="-57"/>
              <w:rPr>
                <w:rFonts w:ascii="Times New Roman" w:eastAsia="Calibri" w:hAnsi="Times New Roman" w:cs="Times New Roman"/>
                <w:sz w:val="24"/>
                <w:szCs w:val="24"/>
                <w:lang w:eastAsia="cs-CZ"/>
              </w:rPr>
            </w:pPr>
            <w:r w:rsidRPr="00BB7A6F">
              <w:rPr>
                <w:rFonts w:ascii="Times New Roman" w:eastAsia="Calibri" w:hAnsi="Times New Roman" w:cs="Times New Roman"/>
                <w:sz w:val="24"/>
                <w:szCs w:val="24"/>
                <w:lang w:eastAsia="cs-CZ"/>
              </w:rPr>
              <w:t>× 100</w:t>
            </w:r>
          </w:p>
        </w:tc>
      </w:tr>
      <w:tr w:rsidR="00B27340" w:rsidRPr="00BB7A6F" w14:paraId="24A70C7C" w14:textId="77777777" w:rsidTr="00B27340">
        <w:trPr>
          <w:jc w:val="center"/>
        </w:trPr>
        <w:tc>
          <w:tcPr>
            <w:tcW w:w="0" w:type="auto"/>
            <w:vMerge/>
            <w:shd w:val="clear" w:color="auto" w:fill="auto"/>
          </w:tcPr>
          <w:p w14:paraId="668C9637" w14:textId="77777777" w:rsidR="00B27340" w:rsidRPr="00BB7A6F" w:rsidRDefault="00B27340" w:rsidP="00B27340">
            <w:pPr>
              <w:jc w:val="center"/>
              <w:rPr>
                <w:rFonts w:ascii="Times New Roman" w:eastAsia="Calibri" w:hAnsi="Times New Roman" w:cs="Times New Roman"/>
                <w:sz w:val="24"/>
                <w:szCs w:val="24"/>
                <w:lang w:eastAsia="cs-CZ"/>
              </w:rPr>
            </w:pPr>
          </w:p>
        </w:tc>
        <w:tc>
          <w:tcPr>
            <w:tcW w:w="0" w:type="auto"/>
            <w:tcBorders>
              <w:top w:val="single" w:sz="8" w:space="0" w:color="auto"/>
            </w:tcBorders>
            <w:shd w:val="clear" w:color="auto" w:fill="auto"/>
          </w:tcPr>
          <w:p w14:paraId="3A6BA674" w14:textId="77777777" w:rsidR="00B27340" w:rsidRPr="00BB7A6F" w:rsidRDefault="00B27340" w:rsidP="00B27340">
            <w:pPr>
              <w:jc w:val="center"/>
              <w:rPr>
                <w:rFonts w:ascii="Times New Roman" w:eastAsia="Calibri" w:hAnsi="Times New Roman" w:cs="Times New Roman"/>
                <w:sz w:val="24"/>
                <w:szCs w:val="24"/>
                <w:lang w:eastAsia="cs-CZ"/>
              </w:rPr>
            </w:pPr>
            <w:r w:rsidRPr="00BB7A6F">
              <w:rPr>
                <w:rFonts w:ascii="Times New Roman" w:eastAsia="Calibri" w:hAnsi="Times New Roman" w:cs="Times New Roman"/>
                <w:sz w:val="24"/>
                <w:szCs w:val="24"/>
                <w:lang w:eastAsia="cs-CZ"/>
              </w:rPr>
              <w:t>44,4</w:t>
            </w:r>
          </w:p>
        </w:tc>
        <w:tc>
          <w:tcPr>
            <w:tcW w:w="0" w:type="auto"/>
            <w:vMerge/>
            <w:shd w:val="clear" w:color="auto" w:fill="auto"/>
          </w:tcPr>
          <w:p w14:paraId="4EDD8E40" w14:textId="77777777" w:rsidR="00B27340" w:rsidRPr="00BB7A6F" w:rsidRDefault="00B27340" w:rsidP="00B27340">
            <w:pPr>
              <w:jc w:val="center"/>
              <w:rPr>
                <w:rFonts w:ascii="Times New Roman" w:eastAsia="Calibri" w:hAnsi="Times New Roman" w:cs="Times New Roman"/>
                <w:sz w:val="24"/>
                <w:szCs w:val="24"/>
                <w:lang w:eastAsia="cs-CZ"/>
              </w:rPr>
            </w:pPr>
          </w:p>
        </w:tc>
      </w:tr>
    </w:tbl>
    <w:p w14:paraId="3796C5B7" w14:textId="77777777" w:rsidR="00B27340" w:rsidRPr="00BB7A6F" w:rsidRDefault="00B27340" w:rsidP="00B27340">
      <w:pPr>
        <w:jc w:val="both"/>
        <w:rPr>
          <w:rFonts w:ascii="Times New Roman" w:hAnsi="Times New Roman" w:cs="Times New Roman"/>
          <w:bCs/>
          <w:sz w:val="24"/>
          <w:szCs w:val="16"/>
          <w:lang w:eastAsia="cs-CZ"/>
        </w:rPr>
      </w:pPr>
    </w:p>
    <w:p w14:paraId="2E2BE110" w14:textId="77777777" w:rsidR="00B27340" w:rsidRPr="00BB7A6F" w:rsidRDefault="00B27340" w:rsidP="00B27340">
      <w:pPr>
        <w:jc w:val="center"/>
        <w:rPr>
          <w:rFonts w:ascii="Times New Roman" w:hAnsi="Times New Roman" w:cs="Times New Roman"/>
          <w:bCs/>
          <w:sz w:val="24"/>
          <w:szCs w:val="16"/>
          <w:lang w:eastAsia="cs-CZ"/>
        </w:rPr>
      </w:pPr>
      <w:r w:rsidRPr="00BB7A6F">
        <w:rPr>
          <w:rFonts w:ascii="Times New Roman" w:hAnsi="Times New Roman" w:cs="Times New Roman"/>
          <w:bCs/>
          <w:sz w:val="24"/>
          <w:szCs w:val="16"/>
          <w:lang w:eastAsia="cs-CZ"/>
        </w:rPr>
        <w:t>N – 1 = 378,4 %</w:t>
      </w:r>
    </w:p>
    <w:p w14:paraId="6465E5A6" w14:textId="77777777" w:rsidR="00B27340" w:rsidRPr="00BB7A6F" w:rsidRDefault="00B27340" w:rsidP="00B27340">
      <w:pPr>
        <w:spacing w:before="60"/>
        <w:rPr>
          <w:rFonts w:ascii="Times New Roman" w:hAnsi="Times New Roman" w:cs="Times New Roman"/>
          <w:bCs/>
          <w:i/>
          <w:sz w:val="16"/>
          <w:szCs w:val="16"/>
          <w:lang w:eastAsia="cs-CZ"/>
        </w:rPr>
      </w:pPr>
      <w:r w:rsidRPr="00BB7A6F">
        <w:rPr>
          <w:rFonts w:ascii="Times New Roman" w:hAnsi="Times New Roman" w:cs="Times New Roman"/>
          <w:bCs/>
          <w:i/>
          <w:sz w:val="16"/>
          <w:szCs w:val="16"/>
          <w:lang w:eastAsia="cs-CZ"/>
        </w:rPr>
        <w:t>Zdroj: SPP – distribúcia, a.s.</w:t>
      </w:r>
    </w:p>
    <w:p w14:paraId="3427EC0B" w14:textId="77777777" w:rsidR="00B27340" w:rsidRPr="004C7A1E" w:rsidRDefault="00B27340" w:rsidP="00B27340">
      <w:pPr>
        <w:jc w:val="both"/>
        <w:rPr>
          <w:bCs/>
          <w:sz w:val="24"/>
          <w:szCs w:val="16"/>
          <w:lang w:eastAsia="cs-CZ"/>
        </w:rPr>
      </w:pPr>
    </w:p>
    <w:p w14:paraId="2903452C" w14:textId="15FFCC89" w:rsidR="00B27340" w:rsidRPr="00F91F55" w:rsidRDefault="00B8646A" w:rsidP="00B27340">
      <w:pPr>
        <w:jc w:val="both"/>
        <w:rPr>
          <w:rFonts w:ascii="Times New Roman" w:hAnsi="Times New Roman" w:cs="Times New Roman"/>
          <w:b/>
          <w:bCs/>
          <w:sz w:val="24"/>
          <w:szCs w:val="24"/>
          <w:lang w:eastAsia="cs-CZ"/>
        </w:rPr>
      </w:pPr>
      <w:r>
        <w:rPr>
          <w:rFonts w:ascii="Times New Roman" w:hAnsi="Times New Roman" w:cs="Times New Roman"/>
          <w:b/>
          <w:bCs/>
          <w:sz w:val="24"/>
          <w:szCs w:val="24"/>
          <w:lang w:eastAsia="cs-CZ"/>
        </w:rPr>
        <w:br/>
      </w:r>
      <w:r>
        <w:rPr>
          <w:rFonts w:ascii="Times New Roman" w:hAnsi="Times New Roman" w:cs="Times New Roman"/>
          <w:b/>
          <w:bCs/>
          <w:sz w:val="24"/>
          <w:szCs w:val="24"/>
          <w:lang w:eastAsia="cs-CZ"/>
        </w:rPr>
        <w:br/>
      </w:r>
      <w:r w:rsidR="00B27340" w:rsidRPr="00F91F55">
        <w:rPr>
          <w:rFonts w:ascii="Times New Roman" w:hAnsi="Times New Roman" w:cs="Times New Roman"/>
          <w:b/>
          <w:bCs/>
          <w:sz w:val="24"/>
          <w:szCs w:val="24"/>
          <w:lang w:eastAsia="cs-CZ"/>
        </w:rPr>
        <w:t>Závery</w:t>
      </w:r>
    </w:p>
    <w:p w14:paraId="6C484D0A" w14:textId="77777777" w:rsidR="00B27340" w:rsidRPr="00F91F55" w:rsidRDefault="00B27340" w:rsidP="00B27340">
      <w:pPr>
        <w:jc w:val="both"/>
        <w:rPr>
          <w:rFonts w:ascii="Times New Roman" w:hAnsi="Times New Roman" w:cs="Times New Roman"/>
          <w:sz w:val="24"/>
          <w:szCs w:val="24"/>
          <w:lang w:eastAsia="cs-CZ"/>
        </w:rPr>
      </w:pPr>
      <w:r w:rsidRPr="00F91F55">
        <w:rPr>
          <w:rFonts w:ascii="Times New Roman" w:hAnsi="Times New Roman" w:cs="Times New Roman"/>
          <w:sz w:val="24"/>
          <w:szCs w:val="24"/>
          <w:lang w:eastAsia="cs-CZ"/>
        </w:rPr>
        <w:t>V roku 2019 sa nevyskytli žiadne závažné incidenty, ktoré by narušili dodávku zemného plynu pre odberateľov plynu na vymedzenom území. Boli zabezpečené plynulé a bezpečné dodávky plynu pre všetkých odberateľov.</w:t>
      </w:r>
    </w:p>
    <w:p w14:paraId="6A92ED68" w14:textId="59B1A697" w:rsidR="00B27340" w:rsidRPr="00F91F55" w:rsidRDefault="00E1031B" w:rsidP="00B27340">
      <w:pPr>
        <w:jc w:val="both"/>
        <w:rPr>
          <w:rFonts w:ascii="Times New Roman" w:hAnsi="Times New Roman" w:cs="Times New Roman"/>
          <w:sz w:val="24"/>
          <w:szCs w:val="24"/>
          <w:lang w:eastAsia="cs-CZ"/>
        </w:rPr>
      </w:pPr>
      <w:r w:rsidRPr="00E1031B">
        <w:rPr>
          <w:rFonts w:ascii="Times New Roman" w:hAnsi="Times New Roman" w:cs="Times New Roman"/>
          <w:sz w:val="18"/>
          <w:szCs w:val="18"/>
          <w:lang w:eastAsia="cs-CZ"/>
        </w:rPr>
        <w:br/>
      </w:r>
      <w:r w:rsidR="00B27340" w:rsidRPr="00F91F55">
        <w:rPr>
          <w:rFonts w:ascii="Times New Roman" w:hAnsi="Times New Roman" w:cs="Times New Roman"/>
          <w:sz w:val="24"/>
          <w:szCs w:val="24"/>
          <w:lang w:eastAsia="cs-CZ"/>
        </w:rPr>
        <w:t>Zaznamenaná bola jedna havária plynárenského zariadenia s následkami, ktoré spôsobili straty na životoch ako aj materiálne škody – mimoriadna udalosť v Prešove – z dôvodu zásahu tretej strany do plynárenského zariadenia vo vlastníctve prevádzkovateľa distribučnej siete.</w:t>
      </w:r>
    </w:p>
    <w:p w14:paraId="29EE4368" w14:textId="689E9D76" w:rsidR="00B27340" w:rsidRPr="00F91F55" w:rsidRDefault="00E1031B" w:rsidP="00B27340">
      <w:pPr>
        <w:jc w:val="both"/>
        <w:rPr>
          <w:rFonts w:ascii="Times New Roman" w:hAnsi="Times New Roman" w:cs="Times New Roman"/>
          <w:sz w:val="24"/>
          <w:szCs w:val="24"/>
          <w:lang w:eastAsia="cs-CZ"/>
        </w:rPr>
      </w:pPr>
      <w:r w:rsidRPr="00E1031B">
        <w:rPr>
          <w:rFonts w:ascii="Times New Roman" w:hAnsi="Times New Roman" w:cs="Times New Roman"/>
          <w:sz w:val="18"/>
          <w:szCs w:val="18"/>
          <w:lang w:eastAsia="cs-CZ"/>
        </w:rPr>
        <w:br/>
      </w:r>
      <w:r w:rsidR="00B27340" w:rsidRPr="00F91F55">
        <w:rPr>
          <w:rFonts w:ascii="Times New Roman" w:hAnsi="Times New Roman" w:cs="Times New Roman"/>
          <w:sz w:val="24"/>
          <w:szCs w:val="24"/>
          <w:lang w:eastAsia="cs-CZ"/>
        </w:rPr>
        <w:t>Najvýznamnejším hráčom na trhu dodávky plynu na Slovensku zostáva aj naďalej spoločnosť Slovenský plynárenský priemysel, a.s., Bratislava.</w:t>
      </w:r>
    </w:p>
    <w:p w14:paraId="782CF09A" w14:textId="280B965B" w:rsidR="00B27340" w:rsidRPr="00F91F55" w:rsidRDefault="00E1031B" w:rsidP="00B27340">
      <w:pPr>
        <w:jc w:val="both"/>
        <w:rPr>
          <w:rFonts w:ascii="Times New Roman" w:hAnsi="Times New Roman" w:cs="Times New Roman"/>
          <w:sz w:val="24"/>
          <w:szCs w:val="24"/>
          <w:lang w:eastAsia="cs-CZ"/>
        </w:rPr>
      </w:pPr>
      <w:r w:rsidRPr="00E1031B">
        <w:rPr>
          <w:rFonts w:ascii="Times New Roman" w:hAnsi="Times New Roman" w:cs="Times New Roman"/>
          <w:sz w:val="20"/>
          <w:szCs w:val="20"/>
          <w:lang w:eastAsia="cs-CZ"/>
        </w:rPr>
        <w:br/>
      </w:r>
      <w:r w:rsidR="00B27340" w:rsidRPr="00F91F55">
        <w:rPr>
          <w:rFonts w:ascii="Times New Roman" w:hAnsi="Times New Roman" w:cs="Times New Roman"/>
          <w:sz w:val="24"/>
          <w:szCs w:val="24"/>
          <w:lang w:eastAsia="cs-CZ"/>
        </w:rPr>
        <w:t xml:space="preserve">V roku 2019 tvoril podiel najvýznamnejšieho dodávateľa viac ako 50,8% z celkových dodávok plynu koncovým odberateľom na území Slovenska. Ďalšími významnými dodávateľmi sú spoločnosti </w:t>
      </w:r>
      <w:proofErr w:type="spellStart"/>
      <w:r w:rsidR="00B27340" w:rsidRPr="00F91F55">
        <w:rPr>
          <w:rFonts w:ascii="Times New Roman" w:hAnsi="Times New Roman" w:cs="Times New Roman"/>
          <w:sz w:val="24"/>
          <w:szCs w:val="24"/>
          <w:lang w:eastAsia="cs-CZ"/>
        </w:rPr>
        <w:t>innogy</w:t>
      </w:r>
      <w:proofErr w:type="spellEnd"/>
      <w:r w:rsidR="00B27340" w:rsidRPr="00F91F55">
        <w:rPr>
          <w:rFonts w:ascii="Times New Roman" w:hAnsi="Times New Roman" w:cs="Times New Roman"/>
          <w:sz w:val="24"/>
          <w:szCs w:val="24"/>
          <w:lang w:eastAsia="cs-CZ"/>
        </w:rPr>
        <w:t xml:space="preserve"> Slovensko, s.r.o., Košice; ELGAS, </w:t>
      </w:r>
      <w:proofErr w:type="spellStart"/>
      <w:r w:rsidR="00B27340" w:rsidRPr="00F91F55">
        <w:rPr>
          <w:rFonts w:ascii="Times New Roman" w:hAnsi="Times New Roman" w:cs="Times New Roman"/>
          <w:sz w:val="24"/>
          <w:szCs w:val="24"/>
          <w:lang w:eastAsia="cs-CZ"/>
        </w:rPr>
        <w:t>k.s</w:t>
      </w:r>
      <w:proofErr w:type="spellEnd"/>
      <w:r w:rsidR="00B27340" w:rsidRPr="00F91F55">
        <w:rPr>
          <w:rFonts w:ascii="Times New Roman" w:hAnsi="Times New Roman" w:cs="Times New Roman"/>
          <w:sz w:val="24"/>
          <w:szCs w:val="24"/>
          <w:lang w:eastAsia="cs-CZ"/>
        </w:rPr>
        <w:t>., Považská Bystrica, MET Slovakia, a. s., Bratislava a ZSE Energia, a.s., Bratislava. Dodávku plynu uskutočňovali aj spoločnosti ako napr. VEMEX ENERGO s.r.o., Bratislava, ČEZ Slovensko, s.r.o., Bratislava, MAGNA ENERGIA a.s., Piešťany, SLOVAKIA ENERGY, s.r.o., Bratislava.</w:t>
      </w:r>
    </w:p>
    <w:p w14:paraId="697624CB" w14:textId="5F93D668" w:rsidR="00B27340" w:rsidRPr="00F91F55" w:rsidRDefault="00E1031B" w:rsidP="00E1031B">
      <w:pPr>
        <w:spacing w:after="100"/>
        <w:jc w:val="both"/>
        <w:rPr>
          <w:rFonts w:ascii="Times New Roman" w:hAnsi="Times New Roman" w:cs="Times New Roman"/>
          <w:sz w:val="24"/>
          <w:szCs w:val="24"/>
          <w:lang w:eastAsia="cs-CZ"/>
        </w:rPr>
      </w:pPr>
      <w:r w:rsidRPr="00E1031B">
        <w:rPr>
          <w:rFonts w:ascii="Times New Roman" w:hAnsi="Times New Roman" w:cs="Times New Roman"/>
          <w:sz w:val="20"/>
          <w:szCs w:val="20"/>
          <w:lang w:eastAsia="cs-CZ"/>
        </w:rPr>
        <w:lastRenderedPageBreak/>
        <w:br/>
      </w:r>
      <w:r w:rsidR="00B27340" w:rsidRPr="00F91F55">
        <w:rPr>
          <w:rFonts w:ascii="Times New Roman" w:hAnsi="Times New Roman" w:cs="Times New Roman"/>
          <w:sz w:val="24"/>
          <w:szCs w:val="24"/>
          <w:lang w:eastAsia="cs-CZ"/>
        </w:rPr>
        <w:t>Prepravná sieť, distribučné siete a podzemné zásobníky plynu v monitorovanom období boli prevádzkované spoľahlivo a bezpečne, pričom plne pokrývali dopyt domáceho trhu.</w:t>
      </w:r>
    </w:p>
    <w:p w14:paraId="4E7FDB54" w14:textId="45953A35" w:rsidR="00B27340" w:rsidRPr="00F91F55" w:rsidRDefault="00E1031B" w:rsidP="00B27340">
      <w:pPr>
        <w:jc w:val="both"/>
        <w:rPr>
          <w:rFonts w:ascii="Times New Roman" w:hAnsi="Times New Roman" w:cs="Times New Roman"/>
          <w:sz w:val="24"/>
          <w:szCs w:val="24"/>
          <w:lang w:eastAsia="cs-CZ"/>
        </w:rPr>
      </w:pPr>
      <w:r w:rsidRPr="00E1031B">
        <w:rPr>
          <w:rFonts w:ascii="Times New Roman" w:hAnsi="Times New Roman" w:cs="Times New Roman"/>
          <w:sz w:val="20"/>
          <w:szCs w:val="20"/>
          <w:lang w:eastAsia="cs-CZ"/>
        </w:rPr>
        <w:br/>
      </w:r>
      <w:r w:rsidR="00B27340" w:rsidRPr="00F91F55">
        <w:rPr>
          <w:rFonts w:ascii="Times New Roman" w:hAnsi="Times New Roman" w:cs="Times New Roman"/>
          <w:sz w:val="24"/>
          <w:szCs w:val="24"/>
          <w:lang w:eastAsia="cs-CZ"/>
        </w:rPr>
        <w:t>Z pohľadu zaistenia bezpečných dodávok plynu, zvýšenia miery bezpečnosti dodávky, hlavne v prípade riešenia situácie výpadku jedného zdroja je potrebné podporovať efektívnu a nákladovo prijateľnú diverzifikáciu zdrojov plynu a diverzifikáciu dopravných ciest plynu a za týmto účelom podporovať investície do infraštruktúry v rámci aktuálnej legislatívy na úrovni Európskej únie a s ňou súvisiacich procesov.</w:t>
      </w:r>
    </w:p>
    <w:p w14:paraId="25ED5907" w14:textId="08E6E8B6" w:rsidR="00B27340" w:rsidRPr="00F91F55" w:rsidRDefault="00E1031B" w:rsidP="00E1031B">
      <w:pPr>
        <w:spacing w:after="100"/>
        <w:jc w:val="both"/>
        <w:rPr>
          <w:rFonts w:ascii="Times New Roman" w:hAnsi="Times New Roman" w:cs="Times New Roman"/>
          <w:sz w:val="24"/>
          <w:szCs w:val="24"/>
          <w:lang w:eastAsia="cs-CZ"/>
        </w:rPr>
      </w:pPr>
      <w:r w:rsidRPr="00E1031B">
        <w:rPr>
          <w:rFonts w:ascii="Times New Roman" w:hAnsi="Times New Roman" w:cs="Times New Roman"/>
          <w:sz w:val="20"/>
          <w:szCs w:val="20"/>
          <w:lang w:eastAsia="cs-CZ"/>
        </w:rPr>
        <w:br/>
      </w:r>
      <w:r w:rsidR="00B27340" w:rsidRPr="00F91F55">
        <w:rPr>
          <w:rFonts w:ascii="Times New Roman" w:hAnsi="Times New Roman" w:cs="Times New Roman"/>
          <w:sz w:val="24"/>
          <w:szCs w:val="24"/>
          <w:lang w:eastAsia="cs-CZ"/>
        </w:rPr>
        <w:t>Pokiaľ ide o situáciu vo vzájomných vzťahoch Ukrajiny a Ruskej federácie, ktorá môže predovšetkým vzhľadom na tranzit plynu cez územie Ukrajiny ovplyvňovať aj situáciu v iných krajinách, je možné konštatovať zaistenie stabilného tranzitu počas monitorovaného obdobia.</w:t>
      </w:r>
    </w:p>
    <w:p w14:paraId="317E18A7" w14:textId="77777777" w:rsidR="00B02380" w:rsidRDefault="00E1031B" w:rsidP="00B02380">
      <w:pPr>
        <w:jc w:val="both"/>
        <w:rPr>
          <w:rFonts w:ascii="Times New Roman" w:hAnsi="Times New Roman" w:cs="Times New Roman"/>
          <w:sz w:val="24"/>
          <w:szCs w:val="24"/>
          <w:lang w:eastAsia="cs-CZ"/>
        </w:rPr>
      </w:pPr>
      <w:r w:rsidRPr="00E1031B">
        <w:rPr>
          <w:rFonts w:ascii="Times New Roman" w:hAnsi="Times New Roman" w:cs="Times New Roman"/>
          <w:sz w:val="20"/>
          <w:szCs w:val="20"/>
          <w:lang w:eastAsia="cs-CZ"/>
        </w:rPr>
        <w:br/>
      </w:r>
      <w:r w:rsidR="00B27340" w:rsidRPr="00F91F55">
        <w:rPr>
          <w:rFonts w:ascii="Times New Roman" w:hAnsi="Times New Roman" w:cs="Times New Roman"/>
          <w:sz w:val="24"/>
          <w:szCs w:val="24"/>
          <w:lang w:eastAsia="cs-CZ"/>
        </w:rPr>
        <w:t xml:space="preserve">V závere decembra 2019 sa podarilo dosiahnuť dohodu o tranzite zemného plynu cez Ukrajinu. Na jej základe by počas najbližších 5 rokov (do roku 2024) malo byť prepravených minimálne 225 mld. m3 zemného plynu. Zmluva medzi príslušnými spoločnosťami bola podpísaná 30. decembra 2019. Strany si v nej zároveň stanovili možnosť jej predĺženia na ďalších 10 rokov v budúcnosti. V rovnaký deň podpísal prepojovaciu dohodu s novým ukrajinským prevádzkovateľom prepravnej siete aj </w:t>
      </w:r>
      <w:proofErr w:type="spellStart"/>
      <w:r w:rsidR="00B27340" w:rsidRPr="00F91F55">
        <w:rPr>
          <w:rFonts w:ascii="Times New Roman" w:hAnsi="Times New Roman" w:cs="Times New Roman"/>
          <w:sz w:val="24"/>
          <w:szCs w:val="24"/>
          <w:lang w:eastAsia="cs-CZ"/>
        </w:rPr>
        <w:t>eustream</w:t>
      </w:r>
      <w:proofErr w:type="spellEnd"/>
      <w:r w:rsidR="00B27340" w:rsidRPr="00F91F55">
        <w:rPr>
          <w:rFonts w:ascii="Times New Roman" w:hAnsi="Times New Roman" w:cs="Times New Roman"/>
          <w:sz w:val="24"/>
          <w:szCs w:val="24"/>
          <w:lang w:eastAsia="cs-CZ"/>
        </w:rPr>
        <w:t>, a.s. Slovensko zachovanie tranzitu cez Ukrajinu dlhodobo podporuje.</w:t>
      </w:r>
    </w:p>
    <w:p w14:paraId="09DC352A" w14:textId="508F10C0" w:rsidR="00B02380" w:rsidRDefault="00B02380" w:rsidP="00B02380">
      <w:pPr>
        <w:rPr>
          <w:rFonts w:ascii="Times New Roman" w:hAnsi="Times New Roman" w:cs="Times New Roman"/>
          <w:sz w:val="24"/>
          <w:szCs w:val="24"/>
        </w:rPr>
        <w:sectPr w:rsidR="00B02380" w:rsidSect="007A5CEA">
          <w:pgSz w:w="11906" w:h="16838" w:code="9"/>
          <w:pgMar w:top="1418" w:right="851" w:bottom="1418" w:left="1418" w:header="709" w:footer="427" w:gutter="0"/>
          <w:cols w:space="708"/>
          <w:docGrid w:linePitch="360"/>
        </w:sectPr>
      </w:pPr>
      <w:r>
        <w:rPr>
          <w:rFonts w:ascii="Times New Roman" w:hAnsi="Times New Roman" w:cs="Times New Roman"/>
          <w:sz w:val="24"/>
          <w:szCs w:val="24"/>
        </w:rPr>
        <w:br/>
      </w:r>
      <w:r w:rsidR="001A4F24" w:rsidRPr="001A4F24">
        <w:rPr>
          <w:rFonts w:ascii="Times New Roman" w:hAnsi="Times New Roman" w:cs="Times New Roman"/>
          <w:sz w:val="24"/>
          <w:szCs w:val="24"/>
        </w:rPr>
        <w:t>Kontaktná osoba:  Ing. Ľubomír Čačaný</w:t>
      </w:r>
    </w:p>
    <w:p w14:paraId="730824F8" w14:textId="77777777" w:rsidR="00326425" w:rsidRPr="000B37EF" w:rsidRDefault="00326425" w:rsidP="00326425">
      <w:pPr>
        <w:pStyle w:val="Nadpis1"/>
        <w:rPr>
          <w:rFonts w:eastAsia="Arial Unicode MS"/>
        </w:rPr>
      </w:pPr>
      <w:r w:rsidRPr="000B37EF">
        <w:lastRenderedPageBreak/>
        <w:t>Zoznam vydaných osvedčení na výstavbu energetického zariadenia v roku 2020</w:t>
      </w:r>
    </w:p>
    <w:p w14:paraId="1A7F2AD1" w14:textId="7661D5D9" w:rsidR="00326425" w:rsidRPr="000B37EF" w:rsidRDefault="00326425" w:rsidP="00326425">
      <w:pPr>
        <w:spacing w:after="0" w:line="240" w:lineRule="auto"/>
        <w:rPr>
          <w:rFonts w:ascii="Times New Roman" w:eastAsia="Times New Roman" w:hAnsi="Times New Roman"/>
          <w:sz w:val="24"/>
          <w:szCs w:val="24"/>
          <w:lang w:eastAsia="sk-SK"/>
        </w:rPr>
      </w:pPr>
    </w:p>
    <w:tbl>
      <w:tblPr>
        <w:tblW w:w="4916"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2"/>
        <w:gridCol w:w="2209"/>
        <w:gridCol w:w="3098"/>
        <w:gridCol w:w="2372"/>
        <w:gridCol w:w="3084"/>
        <w:gridCol w:w="884"/>
        <w:gridCol w:w="1205"/>
      </w:tblGrid>
      <w:tr w:rsidR="00326425" w:rsidRPr="000B37EF" w14:paraId="2AA219FA" w14:textId="77777777" w:rsidTr="003A7062">
        <w:trPr>
          <w:cantSplit/>
          <w:trHeight w:val="64"/>
        </w:trPr>
        <w:tc>
          <w:tcPr>
            <w:tcW w:w="520" w:type="pct"/>
          </w:tcPr>
          <w:p w14:paraId="1B9A5CFC" w14:textId="77777777" w:rsidR="00326425" w:rsidRPr="000B37EF" w:rsidRDefault="00326425" w:rsidP="003A7062">
            <w:pPr>
              <w:spacing w:after="0" w:line="240" w:lineRule="auto"/>
              <w:jc w:val="center"/>
              <w:rPr>
                <w:rFonts w:ascii="Times New Roman" w:eastAsia="Times New Roman" w:hAnsi="Times New Roman"/>
                <w:b/>
                <w:bCs/>
                <w:sz w:val="24"/>
                <w:szCs w:val="24"/>
                <w:lang w:eastAsia="sk-SK"/>
              </w:rPr>
            </w:pPr>
            <w:r>
              <w:rPr>
                <w:rFonts w:ascii="Times New Roman" w:eastAsia="Times New Roman" w:hAnsi="Times New Roman"/>
                <w:b/>
                <w:bCs/>
                <w:sz w:val="24"/>
                <w:szCs w:val="24"/>
                <w:lang w:eastAsia="sk-SK"/>
              </w:rPr>
              <w:t>č</w:t>
            </w:r>
            <w:r w:rsidRPr="000B37EF">
              <w:rPr>
                <w:rFonts w:ascii="Times New Roman" w:eastAsia="Times New Roman" w:hAnsi="Times New Roman"/>
                <w:b/>
                <w:bCs/>
                <w:sz w:val="24"/>
                <w:szCs w:val="24"/>
                <w:lang w:eastAsia="sk-SK"/>
              </w:rPr>
              <w:t>íslo rozhodnutia</w:t>
            </w:r>
            <w:r>
              <w:rPr>
                <w:rFonts w:ascii="Times New Roman" w:eastAsia="Times New Roman" w:hAnsi="Times New Roman"/>
                <w:b/>
                <w:bCs/>
                <w:sz w:val="24"/>
                <w:szCs w:val="24"/>
                <w:lang w:eastAsia="sk-SK"/>
              </w:rPr>
              <w:t>,</w:t>
            </w:r>
          </w:p>
          <w:p w14:paraId="0BEDE6D9" w14:textId="77777777" w:rsidR="00326425" w:rsidRPr="000B37EF" w:rsidRDefault="00326425" w:rsidP="003A7062">
            <w:pPr>
              <w:spacing w:after="0" w:line="240" w:lineRule="auto"/>
              <w:jc w:val="center"/>
              <w:rPr>
                <w:rFonts w:ascii="Times New Roman" w:eastAsia="Times New Roman" w:hAnsi="Times New Roman"/>
                <w:b/>
                <w:bCs/>
                <w:sz w:val="24"/>
                <w:szCs w:val="24"/>
                <w:lang w:eastAsia="sk-SK"/>
              </w:rPr>
            </w:pPr>
            <w:r>
              <w:rPr>
                <w:rFonts w:ascii="Times New Roman" w:eastAsia="Times New Roman" w:hAnsi="Times New Roman"/>
                <w:b/>
                <w:bCs/>
                <w:sz w:val="24"/>
                <w:szCs w:val="24"/>
                <w:lang w:eastAsia="sk-SK"/>
              </w:rPr>
              <w:t>d</w:t>
            </w:r>
            <w:r w:rsidRPr="000B37EF">
              <w:rPr>
                <w:rFonts w:ascii="Times New Roman" w:eastAsia="Times New Roman" w:hAnsi="Times New Roman"/>
                <w:b/>
                <w:bCs/>
                <w:sz w:val="24"/>
                <w:szCs w:val="24"/>
                <w:lang w:eastAsia="sk-SK"/>
              </w:rPr>
              <w:t>átum</w:t>
            </w:r>
          </w:p>
        </w:tc>
        <w:tc>
          <w:tcPr>
            <w:tcW w:w="770" w:type="pct"/>
            <w:noWrap/>
            <w:tcMar>
              <w:top w:w="15" w:type="dxa"/>
              <w:left w:w="15" w:type="dxa"/>
              <w:bottom w:w="0" w:type="dxa"/>
              <w:right w:w="15" w:type="dxa"/>
            </w:tcMar>
            <w:vAlign w:val="center"/>
          </w:tcPr>
          <w:p w14:paraId="40BDC842" w14:textId="77777777" w:rsidR="00326425" w:rsidRPr="000B37EF" w:rsidRDefault="00326425" w:rsidP="003A7062">
            <w:pPr>
              <w:spacing w:after="0" w:line="240" w:lineRule="auto"/>
              <w:jc w:val="center"/>
              <w:rPr>
                <w:rFonts w:ascii="Times New Roman" w:eastAsia="Times New Roman" w:hAnsi="Times New Roman"/>
                <w:b/>
                <w:bCs/>
                <w:sz w:val="24"/>
                <w:szCs w:val="24"/>
                <w:lang w:eastAsia="sk-SK"/>
              </w:rPr>
            </w:pPr>
            <w:r>
              <w:rPr>
                <w:rFonts w:ascii="Times New Roman" w:eastAsia="Times New Roman" w:hAnsi="Times New Roman"/>
                <w:b/>
                <w:bCs/>
                <w:sz w:val="24"/>
                <w:szCs w:val="24"/>
                <w:lang w:eastAsia="sk-SK"/>
              </w:rPr>
              <w:t>ž</w:t>
            </w:r>
            <w:r w:rsidRPr="000B37EF">
              <w:rPr>
                <w:rFonts w:ascii="Times New Roman" w:eastAsia="Times New Roman" w:hAnsi="Times New Roman"/>
                <w:b/>
                <w:bCs/>
                <w:sz w:val="24"/>
                <w:szCs w:val="24"/>
                <w:lang w:eastAsia="sk-SK"/>
              </w:rPr>
              <w:t>iadateľ</w:t>
            </w:r>
          </w:p>
        </w:tc>
        <w:tc>
          <w:tcPr>
            <w:tcW w:w="1080" w:type="pct"/>
            <w:noWrap/>
            <w:tcMar>
              <w:top w:w="15" w:type="dxa"/>
              <w:left w:w="15" w:type="dxa"/>
              <w:bottom w:w="0" w:type="dxa"/>
              <w:right w:w="15" w:type="dxa"/>
            </w:tcMar>
            <w:vAlign w:val="center"/>
          </w:tcPr>
          <w:p w14:paraId="4BB85302" w14:textId="77777777" w:rsidR="00326425" w:rsidRPr="000B37EF" w:rsidRDefault="00326425" w:rsidP="003A7062">
            <w:pPr>
              <w:spacing w:after="0" w:line="240" w:lineRule="auto"/>
              <w:jc w:val="center"/>
              <w:rPr>
                <w:rFonts w:ascii="Times New Roman" w:eastAsia="Times New Roman" w:hAnsi="Times New Roman"/>
                <w:b/>
                <w:bCs/>
                <w:sz w:val="24"/>
                <w:szCs w:val="24"/>
                <w:lang w:eastAsia="sk-SK"/>
              </w:rPr>
            </w:pPr>
            <w:r>
              <w:rPr>
                <w:rFonts w:ascii="Times New Roman" w:eastAsia="Times New Roman" w:hAnsi="Times New Roman"/>
                <w:b/>
                <w:bCs/>
                <w:sz w:val="24"/>
                <w:szCs w:val="24"/>
                <w:lang w:eastAsia="sk-SK"/>
              </w:rPr>
              <w:t>f</w:t>
            </w:r>
            <w:r w:rsidRPr="000B37EF">
              <w:rPr>
                <w:rFonts w:ascii="Times New Roman" w:eastAsia="Times New Roman" w:hAnsi="Times New Roman"/>
                <w:b/>
                <w:bCs/>
                <w:sz w:val="24"/>
                <w:szCs w:val="24"/>
                <w:lang w:eastAsia="sk-SK"/>
              </w:rPr>
              <w:t>yzická osoba / členovia štatutárneho orgánu</w:t>
            </w:r>
          </w:p>
        </w:tc>
        <w:tc>
          <w:tcPr>
            <w:tcW w:w="827" w:type="pct"/>
            <w:noWrap/>
            <w:tcMar>
              <w:top w:w="15" w:type="dxa"/>
              <w:left w:w="15" w:type="dxa"/>
              <w:bottom w:w="0" w:type="dxa"/>
              <w:right w:w="15" w:type="dxa"/>
            </w:tcMar>
            <w:vAlign w:val="center"/>
          </w:tcPr>
          <w:p w14:paraId="7955550E" w14:textId="77777777" w:rsidR="00326425" w:rsidRPr="000B37EF" w:rsidRDefault="00326425" w:rsidP="003A7062">
            <w:pPr>
              <w:spacing w:after="0" w:line="240" w:lineRule="auto"/>
              <w:jc w:val="center"/>
              <w:rPr>
                <w:rFonts w:ascii="Times New Roman" w:eastAsia="Times New Roman" w:hAnsi="Times New Roman"/>
                <w:b/>
                <w:bCs/>
                <w:sz w:val="24"/>
                <w:szCs w:val="24"/>
                <w:lang w:eastAsia="sk-SK"/>
              </w:rPr>
            </w:pPr>
            <w:r>
              <w:rPr>
                <w:rFonts w:ascii="Times New Roman" w:eastAsia="Times New Roman" w:hAnsi="Times New Roman"/>
                <w:b/>
                <w:bCs/>
                <w:sz w:val="24"/>
                <w:szCs w:val="24"/>
                <w:lang w:eastAsia="sk-SK"/>
              </w:rPr>
              <w:t>u</w:t>
            </w:r>
            <w:r w:rsidRPr="000B37EF">
              <w:rPr>
                <w:rFonts w:ascii="Times New Roman" w:eastAsia="Times New Roman" w:hAnsi="Times New Roman"/>
                <w:b/>
                <w:bCs/>
                <w:sz w:val="24"/>
                <w:szCs w:val="24"/>
                <w:lang w:eastAsia="sk-SK"/>
              </w:rPr>
              <w:t>miestnenie zariadenia</w:t>
            </w:r>
          </w:p>
        </w:tc>
        <w:tc>
          <w:tcPr>
            <w:tcW w:w="1075" w:type="pct"/>
            <w:noWrap/>
            <w:tcMar>
              <w:top w:w="15" w:type="dxa"/>
              <w:left w:w="15" w:type="dxa"/>
              <w:bottom w:w="0" w:type="dxa"/>
              <w:right w:w="15" w:type="dxa"/>
            </w:tcMar>
            <w:vAlign w:val="center"/>
          </w:tcPr>
          <w:p w14:paraId="59ACF86A" w14:textId="77777777" w:rsidR="00326425" w:rsidRPr="000B37EF" w:rsidRDefault="00326425" w:rsidP="003A7062">
            <w:pPr>
              <w:spacing w:after="0" w:line="240" w:lineRule="auto"/>
              <w:jc w:val="center"/>
              <w:rPr>
                <w:rFonts w:ascii="Times New Roman" w:eastAsia="Times New Roman" w:hAnsi="Times New Roman"/>
                <w:b/>
                <w:bCs/>
                <w:sz w:val="24"/>
                <w:szCs w:val="24"/>
                <w:lang w:eastAsia="sk-SK"/>
              </w:rPr>
            </w:pPr>
            <w:r>
              <w:rPr>
                <w:rFonts w:ascii="Times New Roman" w:eastAsia="Times New Roman" w:hAnsi="Times New Roman"/>
                <w:b/>
                <w:bCs/>
                <w:sz w:val="24"/>
                <w:szCs w:val="24"/>
                <w:lang w:eastAsia="sk-SK"/>
              </w:rPr>
              <w:t>c</w:t>
            </w:r>
            <w:r w:rsidRPr="000B37EF">
              <w:rPr>
                <w:rFonts w:ascii="Times New Roman" w:eastAsia="Times New Roman" w:hAnsi="Times New Roman"/>
                <w:b/>
                <w:bCs/>
                <w:sz w:val="24"/>
                <w:szCs w:val="24"/>
                <w:lang w:eastAsia="sk-SK"/>
              </w:rPr>
              <w:t>harakteristika zariadenia</w:t>
            </w:r>
          </w:p>
        </w:tc>
        <w:tc>
          <w:tcPr>
            <w:tcW w:w="308" w:type="pct"/>
            <w:tcMar>
              <w:top w:w="15" w:type="dxa"/>
              <w:left w:w="15" w:type="dxa"/>
              <w:bottom w:w="0" w:type="dxa"/>
              <w:right w:w="15" w:type="dxa"/>
            </w:tcMar>
            <w:vAlign w:val="center"/>
          </w:tcPr>
          <w:p w14:paraId="5BC2DDC9" w14:textId="77777777" w:rsidR="00326425" w:rsidRPr="000B37EF" w:rsidRDefault="00326425" w:rsidP="003A7062">
            <w:pPr>
              <w:spacing w:after="0" w:line="240" w:lineRule="auto"/>
              <w:jc w:val="center"/>
              <w:rPr>
                <w:rFonts w:ascii="Times New Roman" w:eastAsia="Times New Roman" w:hAnsi="Times New Roman"/>
                <w:b/>
                <w:bCs/>
                <w:sz w:val="24"/>
                <w:szCs w:val="24"/>
                <w:lang w:eastAsia="sk-SK"/>
              </w:rPr>
            </w:pPr>
            <w:r>
              <w:rPr>
                <w:rFonts w:ascii="Times New Roman" w:eastAsia="Times New Roman" w:hAnsi="Times New Roman"/>
                <w:b/>
                <w:bCs/>
                <w:sz w:val="24"/>
                <w:szCs w:val="24"/>
                <w:lang w:eastAsia="sk-SK"/>
              </w:rPr>
              <w:t>t</w:t>
            </w:r>
            <w:r w:rsidRPr="000B37EF">
              <w:rPr>
                <w:rFonts w:ascii="Times New Roman" w:eastAsia="Times New Roman" w:hAnsi="Times New Roman"/>
                <w:b/>
                <w:bCs/>
                <w:sz w:val="24"/>
                <w:szCs w:val="24"/>
                <w:lang w:eastAsia="sk-SK"/>
              </w:rPr>
              <w:t>epelný výkon (MW)</w:t>
            </w:r>
          </w:p>
        </w:tc>
        <w:tc>
          <w:tcPr>
            <w:tcW w:w="420" w:type="pct"/>
            <w:tcMar>
              <w:top w:w="15" w:type="dxa"/>
              <w:left w:w="15" w:type="dxa"/>
              <w:bottom w:w="0" w:type="dxa"/>
              <w:right w:w="15" w:type="dxa"/>
            </w:tcMar>
            <w:vAlign w:val="center"/>
          </w:tcPr>
          <w:p w14:paraId="5DC35BB5" w14:textId="77777777" w:rsidR="00326425" w:rsidRPr="000B37EF" w:rsidRDefault="00326425" w:rsidP="003A7062">
            <w:pPr>
              <w:spacing w:after="0" w:line="240" w:lineRule="auto"/>
              <w:jc w:val="center"/>
              <w:rPr>
                <w:rFonts w:ascii="Times New Roman" w:eastAsia="Times New Roman" w:hAnsi="Times New Roman"/>
                <w:b/>
                <w:bCs/>
                <w:sz w:val="24"/>
                <w:szCs w:val="24"/>
                <w:lang w:eastAsia="sk-SK"/>
              </w:rPr>
            </w:pPr>
            <w:r>
              <w:rPr>
                <w:rFonts w:ascii="Times New Roman" w:eastAsia="Times New Roman" w:hAnsi="Times New Roman"/>
                <w:b/>
                <w:bCs/>
                <w:sz w:val="24"/>
                <w:szCs w:val="24"/>
                <w:lang w:eastAsia="sk-SK"/>
              </w:rPr>
              <w:t>e</w:t>
            </w:r>
            <w:r w:rsidRPr="000B37EF">
              <w:rPr>
                <w:rFonts w:ascii="Times New Roman" w:eastAsia="Times New Roman" w:hAnsi="Times New Roman"/>
                <w:b/>
                <w:bCs/>
                <w:sz w:val="24"/>
                <w:szCs w:val="24"/>
                <w:lang w:eastAsia="sk-SK"/>
              </w:rPr>
              <w:t>lektrický výkon (MW)</w:t>
            </w:r>
          </w:p>
        </w:tc>
      </w:tr>
      <w:tr w:rsidR="00326425" w:rsidRPr="000B37EF" w14:paraId="7186FD50" w14:textId="77777777" w:rsidTr="00132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3119"/>
        </w:trPr>
        <w:tc>
          <w:tcPr>
            <w:tcW w:w="520" w:type="pct"/>
            <w:tcBorders>
              <w:top w:val="single" w:sz="8" w:space="0" w:color="auto"/>
              <w:left w:val="single" w:sz="8" w:space="0" w:color="auto"/>
              <w:bottom w:val="single" w:sz="8" w:space="0" w:color="auto"/>
              <w:right w:val="single" w:sz="8" w:space="0" w:color="auto"/>
            </w:tcBorders>
            <w:shd w:val="clear" w:color="auto" w:fill="auto"/>
            <w:vAlign w:val="center"/>
          </w:tcPr>
          <w:p w14:paraId="27CB62E4" w14:textId="77777777" w:rsidR="00326425" w:rsidRPr="000B37EF" w:rsidRDefault="00326425" w:rsidP="003A7062">
            <w:pPr>
              <w:spacing w:after="0" w:line="240" w:lineRule="auto"/>
              <w:jc w:val="center"/>
              <w:rPr>
                <w:rFonts w:ascii="Times New Roman" w:hAnsi="Times New Roman"/>
                <w:sz w:val="24"/>
                <w:szCs w:val="24"/>
                <w:lang w:eastAsia="sk-SK"/>
              </w:rPr>
            </w:pPr>
            <w:r w:rsidRPr="000B37EF">
              <w:rPr>
                <w:rFonts w:ascii="Times New Roman" w:hAnsi="Times New Roman"/>
                <w:sz w:val="24"/>
                <w:szCs w:val="24"/>
                <w:lang w:eastAsia="sk-SK"/>
              </w:rPr>
              <w:t>19779/2020-4110</w:t>
            </w:r>
            <w:r w:rsidRPr="000B37EF">
              <w:rPr>
                <w:rFonts w:ascii="Times New Roman" w:hAnsi="Times New Roman"/>
                <w:sz w:val="24"/>
                <w:szCs w:val="24"/>
                <w:lang w:eastAsia="sk-SK"/>
              </w:rPr>
              <w:br/>
              <w:t>30. 07. 2020</w:t>
            </w:r>
          </w:p>
        </w:tc>
        <w:tc>
          <w:tcPr>
            <w:tcW w:w="770" w:type="pct"/>
            <w:tcBorders>
              <w:top w:val="single" w:sz="8" w:space="0" w:color="auto"/>
              <w:left w:val="nil"/>
              <w:bottom w:val="single" w:sz="8" w:space="0" w:color="auto"/>
              <w:right w:val="single" w:sz="8" w:space="0" w:color="auto"/>
            </w:tcBorders>
            <w:shd w:val="clear" w:color="auto" w:fill="auto"/>
            <w:vAlign w:val="center"/>
          </w:tcPr>
          <w:p w14:paraId="409D7ADA" w14:textId="77777777" w:rsidR="00326425" w:rsidRPr="000B37EF" w:rsidRDefault="00326425" w:rsidP="003A7062">
            <w:pPr>
              <w:jc w:val="center"/>
              <w:rPr>
                <w:rFonts w:ascii="Times New Roman" w:hAnsi="Times New Roman"/>
                <w:sz w:val="24"/>
                <w:szCs w:val="24"/>
              </w:rPr>
            </w:pPr>
            <w:r>
              <w:rPr>
                <w:rFonts w:ascii="Times New Roman" w:hAnsi="Times New Roman"/>
                <w:sz w:val="24"/>
                <w:szCs w:val="24"/>
              </w:rPr>
              <w:t xml:space="preserve">Západoslovenská distribučná, </w:t>
            </w:r>
            <w:r w:rsidRPr="000B37EF">
              <w:rPr>
                <w:rFonts w:ascii="Times New Roman" w:hAnsi="Times New Roman"/>
                <w:sz w:val="24"/>
                <w:szCs w:val="24"/>
              </w:rPr>
              <w:t>a.s., Čulenova 6, 816 47 Bratislava, IČO 36 361 518</w:t>
            </w:r>
          </w:p>
        </w:tc>
        <w:tc>
          <w:tcPr>
            <w:tcW w:w="1080" w:type="pct"/>
            <w:tcBorders>
              <w:top w:val="single" w:sz="8" w:space="0" w:color="auto"/>
              <w:left w:val="nil"/>
              <w:bottom w:val="single" w:sz="8" w:space="0" w:color="auto"/>
              <w:right w:val="single" w:sz="8" w:space="0" w:color="auto"/>
            </w:tcBorders>
            <w:shd w:val="clear" w:color="auto" w:fill="auto"/>
            <w:vAlign w:val="center"/>
          </w:tcPr>
          <w:p w14:paraId="747ED59C" w14:textId="6016A054" w:rsidR="0065194D" w:rsidRPr="000B37EF" w:rsidRDefault="00326425" w:rsidP="0065194D">
            <w:pPr>
              <w:jc w:val="center"/>
              <w:rPr>
                <w:rFonts w:ascii="Times New Roman" w:hAnsi="Times New Roman"/>
                <w:sz w:val="24"/>
                <w:szCs w:val="24"/>
              </w:rPr>
            </w:pPr>
            <w:r>
              <w:rPr>
                <w:rFonts w:ascii="Times New Roman" w:hAnsi="Times New Roman"/>
                <w:sz w:val="24"/>
                <w:szCs w:val="24"/>
              </w:rPr>
              <w:t>zastúpená: Ing. Tomáš Turek, Ph</w:t>
            </w:r>
            <w:r w:rsidRPr="000B37EF">
              <w:rPr>
                <w:rFonts w:ascii="Times New Roman" w:hAnsi="Times New Roman"/>
                <w:sz w:val="24"/>
                <w:szCs w:val="24"/>
              </w:rPr>
              <w:t xml:space="preserve">D., podpredseda predstavenstva Mgr. Vladimír </w:t>
            </w:r>
            <w:proofErr w:type="spellStart"/>
            <w:r w:rsidRPr="000B37EF">
              <w:rPr>
                <w:rFonts w:ascii="Times New Roman" w:hAnsi="Times New Roman"/>
                <w:sz w:val="24"/>
                <w:szCs w:val="24"/>
              </w:rPr>
              <w:t>Cipciar</w:t>
            </w:r>
            <w:proofErr w:type="spellEnd"/>
            <w:r w:rsidRPr="000B37EF">
              <w:rPr>
                <w:rFonts w:ascii="Times New Roman" w:hAnsi="Times New Roman"/>
                <w:sz w:val="24"/>
                <w:szCs w:val="24"/>
              </w:rPr>
              <w:t>, člen predstavenstva Ing. Marian Kapec, člen predstavenstva Ing. Martin Mišík, člen pred</w:t>
            </w:r>
            <w:r>
              <w:rPr>
                <w:rFonts w:ascii="Times New Roman" w:hAnsi="Times New Roman"/>
                <w:sz w:val="24"/>
                <w:szCs w:val="24"/>
              </w:rPr>
              <w:t>stavenstva Ing. Miroslav Otočka</w:t>
            </w:r>
          </w:p>
        </w:tc>
        <w:tc>
          <w:tcPr>
            <w:tcW w:w="827" w:type="pct"/>
            <w:tcBorders>
              <w:top w:val="single" w:sz="8" w:space="0" w:color="auto"/>
              <w:left w:val="nil"/>
              <w:bottom w:val="single" w:sz="8" w:space="0" w:color="auto"/>
              <w:right w:val="single" w:sz="8" w:space="0" w:color="auto"/>
            </w:tcBorders>
            <w:shd w:val="clear" w:color="auto" w:fill="auto"/>
            <w:vAlign w:val="center"/>
          </w:tcPr>
          <w:p w14:paraId="40D5A866" w14:textId="77777777" w:rsidR="00326425" w:rsidRPr="000B37EF" w:rsidRDefault="00326425" w:rsidP="003A7062">
            <w:pPr>
              <w:jc w:val="center"/>
              <w:rPr>
                <w:rFonts w:ascii="Times New Roman" w:hAnsi="Times New Roman"/>
                <w:sz w:val="24"/>
                <w:szCs w:val="24"/>
              </w:rPr>
            </w:pPr>
            <w:r w:rsidRPr="000B37EF">
              <w:rPr>
                <w:rFonts w:ascii="Times New Roman" w:hAnsi="Times New Roman"/>
                <w:sz w:val="24"/>
                <w:szCs w:val="24"/>
              </w:rPr>
              <w:t>katastrálne územie obce Dolný Ďur</w:t>
            </w:r>
          </w:p>
        </w:tc>
        <w:tc>
          <w:tcPr>
            <w:tcW w:w="1075" w:type="pct"/>
            <w:tcBorders>
              <w:top w:val="single" w:sz="8" w:space="0" w:color="auto"/>
              <w:left w:val="nil"/>
              <w:bottom w:val="single" w:sz="8" w:space="0" w:color="auto"/>
              <w:right w:val="single" w:sz="8" w:space="0" w:color="auto"/>
            </w:tcBorders>
            <w:shd w:val="clear" w:color="auto" w:fill="auto"/>
            <w:vAlign w:val="center"/>
          </w:tcPr>
          <w:p w14:paraId="5FAA2C17" w14:textId="77777777" w:rsidR="00326425" w:rsidRPr="000B37EF" w:rsidRDefault="00326425" w:rsidP="003A7062">
            <w:pPr>
              <w:jc w:val="center"/>
              <w:rPr>
                <w:rFonts w:ascii="Times New Roman" w:hAnsi="Times New Roman"/>
                <w:sz w:val="24"/>
                <w:szCs w:val="24"/>
              </w:rPr>
            </w:pPr>
            <w:r>
              <w:rPr>
                <w:rFonts w:ascii="Times New Roman" w:hAnsi="Times New Roman"/>
                <w:sz w:val="24"/>
                <w:szCs w:val="24"/>
              </w:rPr>
              <w:t>r</w:t>
            </w:r>
            <w:r w:rsidRPr="000B37EF">
              <w:rPr>
                <w:rFonts w:ascii="Times New Roman" w:hAnsi="Times New Roman"/>
                <w:sz w:val="24"/>
                <w:szCs w:val="24"/>
              </w:rPr>
              <w:t xml:space="preserve">ekonštrukcia jestvujúcej elektrickej stanice R110 </w:t>
            </w:r>
            <w:proofErr w:type="spellStart"/>
            <w:r w:rsidRPr="000B37EF">
              <w:rPr>
                <w:rFonts w:ascii="Times New Roman" w:hAnsi="Times New Roman"/>
                <w:sz w:val="24"/>
                <w:szCs w:val="24"/>
              </w:rPr>
              <w:t>kV</w:t>
            </w:r>
            <w:proofErr w:type="spellEnd"/>
            <w:r w:rsidRPr="000B37EF">
              <w:rPr>
                <w:rFonts w:ascii="Times New Roman" w:hAnsi="Times New Roman"/>
                <w:sz w:val="24"/>
                <w:szCs w:val="24"/>
              </w:rPr>
              <w:t xml:space="preserve"> Veľký Ďur a doplnenie dvoch polí R 110 </w:t>
            </w:r>
            <w:proofErr w:type="spellStart"/>
            <w:r w:rsidRPr="000B37EF">
              <w:rPr>
                <w:rFonts w:ascii="Times New Roman" w:hAnsi="Times New Roman"/>
                <w:sz w:val="24"/>
                <w:szCs w:val="24"/>
              </w:rPr>
              <w:t>kV</w:t>
            </w:r>
            <w:proofErr w:type="spellEnd"/>
            <w:r w:rsidRPr="000B37EF">
              <w:rPr>
                <w:rFonts w:ascii="Times New Roman" w:hAnsi="Times New Roman"/>
                <w:sz w:val="24"/>
                <w:szCs w:val="24"/>
              </w:rPr>
              <w:t xml:space="preserve"> ako príprava na budúce zaústenie nových vedení  2 x 110 </w:t>
            </w:r>
            <w:proofErr w:type="spellStart"/>
            <w:r w:rsidRPr="000B37EF">
              <w:rPr>
                <w:rFonts w:ascii="Times New Roman" w:hAnsi="Times New Roman"/>
                <w:sz w:val="24"/>
                <w:szCs w:val="24"/>
              </w:rPr>
              <w:t>kV</w:t>
            </w:r>
            <w:proofErr w:type="spellEnd"/>
          </w:p>
        </w:tc>
        <w:tc>
          <w:tcPr>
            <w:tcW w:w="308" w:type="pct"/>
            <w:tcBorders>
              <w:top w:val="single" w:sz="8" w:space="0" w:color="auto"/>
              <w:left w:val="nil"/>
              <w:bottom w:val="single" w:sz="8" w:space="0" w:color="auto"/>
              <w:right w:val="single" w:sz="8" w:space="0" w:color="auto"/>
            </w:tcBorders>
            <w:shd w:val="clear" w:color="auto" w:fill="auto"/>
            <w:noWrap/>
            <w:vAlign w:val="center"/>
          </w:tcPr>
          <w:p w14:paraId="1E6A62CC" w14:textId="5F4495A1" w:rsidR="00326425" w:rsidRPr="000B37EF" w:rsidRDefault="00326425" w:rsidP="003A7062">
            <w:pPr>
              <w:spacing w:after="0" w:line="240" w:lineRule="auto"/>
              <w:jc w:val="center"/>
              <w:rPr>
                <w:rFonts w:ascii="Times New Roman" w:eastAsia="Times New Roman" w:hAnsi="Times New Roman"/>
                <w:sz w:val="24"/>
                <w:szCs w:val="24"/>
                <w:lang w:eastAsia="sk-SK"/>
              </w:rPr>
            </w:pPr>
          </w:p>
        </w:tc>
        <w:tc>
          <w:tcPr>
            <w:tcW w:w="420" w:type="pct"/>
            <w:tcBorders>
              <w:top w:val="single" w:sz="8" w:space="0" w:color="auto"/>
              <w:left w:val="nil"/>
              <w:bottom w:val="single" w:sz="8" w:space="0" w:color="auto"/>
              <w:right w:val="single" w:sz="8" w:space="0" w:color="auto"/>
            </w:tcBorders>
            <w:shd w:val="clear" w:color="auto" w:fill="auto"/>
            <w:noWrap/>
            <w:vAlign w:val="center"/>
          </w:tcPr>
          <w:p w14:paraId="725CE9EC" w14:textId="652D36F9" w:rsidR="00326425" w:rsidRPr="000B37EF" w:rsidRDefault="00326425" w:rsidP="003A7062">
            <w:pPr>
              <w:spacing w:after="0" w:line="240" w:lineRule="auto"/>
              <w:jc w:val="center"/>
              <w:rPr>
                <w:rFonts w:ascii="Times New Roman" w:eastAsia="Times New Roman" w:hAnsi="Times New Roman"/>
                <w:sz w:val="24"/>
                <w:szCs w:val="24"/>
                <w:lang w:eastAsia="sk-SK"/>
              </w:rPr>
            </w:pPr>
          </w:p>
        </w:tc>
      </w:tr>
      <w:tr w:rsidR="00326425" w:rsidRPr="000B37EF" w14:paraId="2BBB8AAE" w14:textId="77777777" w:rsidTr="00132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3119"/>
        </w:trPr>
        <w:tc>
          <w:tcPr>
            <w:tcW w:w="520" w:type="pct"/>
            <w:tcBorders>
              <w:top w:val="single" w:sz="8" w:space="0" w:color="auto"/>
              <w:left w:val="single" w:sz="8" w:space="0" w:color="auto"/>
              <w:bottom w:val="single" w:sz="8" w:space="0" w:color="auto"/>
              <w:right w:val="single" w:sz="8" w:space="0" w:color="auto"/>
            </w:tcBorders>
            <w:shd w:val="clear" w:color="auto" w:fill="auto"/>
            <w:vAlign w:val="center"/>
          </w:tcPr>
          <w:p w14:paraId="62B0EC8F" w14:textId="77777777" w:rsidR="00326425" w:rsidRPr="000B37EF" w:rsidRDefault="00326425" w:rsidP="003A7062">
            <w:pPr>
              <w:spacing w:after="0" w:line="240" w:lineRule="auto"/>
              <w:jc w:val="center"/>
              <w:rPr>
                <w:rFonts w:ascii="Times New Roman" w:hAnsi="Times New Roman"/>
                <w:sz w:val="24"/>
                <w:szCs w:val="24"/>
                <w:lang w:eastAsia="sk-SK"/>
              </w:rPr>
            </w:pPr>
            <w:r w:rsidRPr="000B37EF">
              <w:rPr>
                <w:rFonts w:ascii="Times New Roman" w:hAnsi="Times New Roman"/>
                <w:sz w:val="24"/>
                <w:szCs w:val="24"/>
                <w:lang w:eastAsia="sk-SK"/>
              </w:rPr>
              <w:t>21155/2020-4110</w:t>
            </w:r>
            <w:r w:rsidRPr="000B37EF">
              <w:rPr>
                <w:rFonts w:ascii="Times New Roman" w:hAnsi="Times New Roman"/>
                <w:sz w:val="24"/>
                <w:szCs w:val="24"/>
                <w:lang w:eastAsia="sk-SK"/>
              </w:rPr>
              <w:br/>
              <w:t>05. 08. 2020</w:t>
            </w:r>
          </w:p>
        </w:tc>
        <w:tc>
          <w:tcPr>
            <w:tcW w:w="770" w:type="pct"/>
            <w:tcBorders>
              <w:top w:val="single" w:sz="8" w:space="0" w:color="auto"/>
              <w:left w:val="nil"/>
              <w:bottom w:val="single" w:sz="8" w:space="0" w:color="auto"/>
              <w:right w:val="single" w:sz="8" w:space="0" w:color="auto"/>
            </w:tcBorders>
            <w:shd w:val="clear" w:color="auto" w:fill="auto"/>
            <w:vAlign w:val="center"/>
          </w:tcPr>
          <w:p w14:paraId="38700596" w14:textId="77777777" w:rsidR="00326425" w:rsidRPr="000B37EF" w:rsidRDefault="00326425" w:rsidP="003A7062">
            <w:pPr>
              <w:jc w:val="center"/>
              <w:rPr>
                <w:rFonts w:ascii="Times New Roman" w:hAnsi="Times New Roman"/>
                <w:sz w:val="24"/>
                <w:szCs w:val="24"/>
              </w:rPr>
            </w:pPr>
            <w:r w:rsidRPr="000B37EF">
              <w:rPr>
                <w:rFonts w:ascii="Times New Roman" w:hAnsi="Times New Roman"/>
                <w:sz w:val="24"/>
                <w:szCs w:val="24"/>
              </w:rPr>
              <w:t>Západoslovenská distribučná, a.s., Čulenova 6, 816 47 Bratislava, IČO 36 361 518</w:t>
            </w:r>
          </w:p>
        </w:tc>
        <w:tc>
          <w:tcPr>
            <w:tcW w:w="1080" w:type="pct"/>
            <w:tcBorders>
              <w:top w:val="single" w:sz="8" w:space="0" w:color="auto"/>
              <w:left w:val="nil"/>
              <w:bottom w:val="single" w:sz="8" w:space="0" w:color="auto"/>
              <w:right w:val="single" w:sz="8" w:space="0" w:color="auto"/>
            </w:tcBorders>
            <w:shd w:val="clear" w:color="auto" w:fill="auto"/>
            <w:vAlign w:val="center"/>
          </w:tcPr>
          <w:p w14:paraId="3C932AF4" w14:textId="77777777" w:rsidR="00326425" w:rsidRPr="000B37EF" w:rsidRDefault="00326425" w:rsidP="003A7062">
            <w:pPr>
              <w:jc w:val="center"/>
              <w:rPr>
                <w:rFonts w:ascii="Times New Roman" w:hAnsi="Times New Roman"/>
                <w:sz w:val="24"/>
                <w:szCs w:val="24"/>
              </w:rPr>
            </w:pPr>
            <w:r>
              <w:rPr>
                <w:rFonts w:ascii="Times New Roman" w:hAnsi="Times New Roman"/>
                <w:sz w:val="24"/>
                <w:szCs w:val="24"/>
              </w:rPr>
              <w:t>zastúpená: Ing. Tomáš Turek, Ph</w:t>
            </w:r>
            <w:r w:rsidRPr="000B37EF">
              <w:rPr>
                <w:rFonts w:ascii="Times New Roman" w:hAnsi="Times New Roman"/>
                <w:sz w:val="24"/>
                <w:szCs w:val="24"/>
              </w:rPr>
              <w:t xml:space="preserve">D., podpredseda predstavenstva Mgr. Vladimír </w:t>
            </w:r>
            <w:proofErr w:type="spellStart"/>
            <w:r w:rsidRPr="000B37EF">
              <w:rPr>
                <w:rFonts w:ascii="Times New Roman" w:hAnsi="Times New Roman"/>
                <w:sz w:val="24"/>
                <w:szCs w:val="24"/>
              </w:rPr>
              <w:t>Cipciar</w:t>
            </w:r>
            <w:proofErr w:type="spellEnd"/>
            <w:r w:rsidRPr="000B37EF">
              <w:rPr>
                <w:rFonts w:ascii="Times New Roman" w:hAnsi="Times New Roman"/>
                <w:sz w:val="24"/>
                <w:szCs w:val="24"/>
              </w:rPr>
              <w:t>, člen predstavenstva Ing. Marian Kapec, člen predstavenstva Ing. Martin Mišík, člen pred</w:t>
            </w:r>
            <w:r>
              <w:rPr>
                <w:rFonts w:ascii="Times New Roman" w:hAnsi="Times New Roman"/>
                <w:sz w:val="24"/>
                <w:szCs w:val="24"/>
              </w:rPr>
              <w:t>stavenstva Ing. Miroslav Otočka</w:t>
            </w:r>
          </w:p>
        </w:tc>
        <w:tc>
          <w:tcPr>
            <w:tcW w:w="827" w:type="pct"/>
            <w:tcBorders>
              <w:top w:val="single" w:sz="8" w:space="0" w:color="auto"/>
              <w:left w:val="nil"/>
              <w:bottom w:val="single" w:sz="8" w:space="0" w:color="auto"/>
              <w:right w:val="single" w:sz="8" w:space="0" w:color="auto"/>
            </w:tcBorders>
            <w:shd w:val="clear" w:color="auto" w:fill="auto"/>
            <w:vAlign w:val="center"/>
          </w:tcPr>
          <w:p w14:paraId="74E395D9" w14:textId="77777777" w:rsidR="00326425" w:rsidRPr="000B37EF" w:rsidRDefault="00326425" w:rsidP="003A7062">
            <w:pPr>
              <w:jc w:val="center"/>
              <w:rPr>
                <w:rFonts w:ascii="Times New Roman" w:hAnsi="Times New Roman"/>
                <w:sz w:val="24"/>
                <w:szCs w:val="24"/>
              </w:rPr>
            </w:pPr>
            <w:r w:rsidRPr="000B37EF">
              <w:rPr>
                <w:rFonts w:ascii="Times New Roman" w:hAnsi="Times New Roman"/>
                <w:sz w:val="24"/>
                <w:szCs w:val="24"/>
              </w:rPr>
              <w:t>katastrálne územie Bratislava - Ružinov</w:t>
            </w:r>
          </w:p>
        </w:tc>
        <w:tc>
          <w:tcPr>
            <w:tcW w:w="1075" w:type="pct"/>
            <w:tcBorders>
              <w:top w:val="single" w:sz="8" w:space="0" w:color="auto"/>
              <w:left w:val="nil"/>
              <w:bottom w:val="single" w:sz="8" w:space="0" w:color="auto"/>
              <w:right w:val="single" w:sz="8" w:space="0" w:color="auto"/>
            </w:tcBorders>
            <w:shd w:val="clear" w:color="auto" w:fill="auto"/>
            <w:vAlign w:val="center"/>
          </w:tcPr>
          <w:p w14:paraId="59F8A369" w14:textId="77777777" w:rsidR="00326425" w:rsidRPr="000B37EF" w:rsidRDefault="00326425" w:rsidP="003A7062">
            <w:pPr>
              <w:jc w:val="center"/>
              <w:rPr>
                <w:rFonts w:ascii="Times New Roman" w:hAnsi="Times New Roman"/>
                <w:sz w:val="24"/>
                <w:szCs w:val="24"/>
              </w:rPr>
            </w:pPr>
            <w:r w:rsidRPr="000B37EF">
              <w:rPr>
                <w:rFonts w:ascii="Times New Roman" w:hAnsi="Times New Roman"/>
                <w:sz w:val="24"/>
                <w:szCs w:val="24"/>
              </w:rPr>
              <w:t xml:space="preserve">R8103 </w:t>
            </w:r>
            <w:proofErr w:type="spellStart"/>
            <w:r w:rsidRPr="000B37EF">
              <w:rPr>
                <w:rFonts w:ascii="Times New Roman" w:hAnsi="Times New Roman"/>
                <w:sz w:val="24"/>
                <w:szCs w:val="24"/>
              </w:rPr>
              <w:t>ESt</w:t>
            </w:r>
            <w:proofErr w:type="spellEnd"/>
            <w:r w:rsidRPr="000B37EF">
              <w:rPr>
                <w:rFonts w:ascii="Times New Roman" w:hAnsi="Times New Roman"/>
                <w:sz w:val="24"/>
                <w:szCs w:val="24"/>
              </w:rPr>
              <w:t>. Ostredky – výmena transformátora T101</w:t>
            </w:r>
          </w:p>
        </w:tc>
        <w:tc>
          <w:tcPr>
            <w:tcW w:w="308" w:type="pct"/>
            <w:tcBorders>
              <w:top w:val="single" w:sz="8" w:space="0" w:color="auto"/>
              <w:left w:val="nil"/>
              <w:bottom w:val="single" w:sz="8" w:space="0" w:color="auto"/>
              <w:right w:val="single" w:sz="8" w:space="0" w:color="auto"/>
            </w:tcBorders>
            <w:shd w:val="clear" w:color="auto" w:fill="auto"/>
            <w:noWrap/>
            <w:vAlign w:val="center"/>
          </w:tcPr>
          <w:p w14:paraId="32A1DD78" w14:textId="77777777" w:rsidR="00326425" w:rsidRPr="000B37EF" w:rsidRDefault="00326425" w:rsidP="003A7062">
            <w:pPr>
              <w:spacing w:after="0" w:line="240" w:lineRule="auto"/>
              <w:jc w:val="center"/>
              <w:rPr>
                <w:rFonts w:ascii="Times New Roman" w:eastAsia="Times New Roman" w:hAnsi="Times New Roman"/>
                <w:sz w:val="24"/>
                <w:szCs w:val="24"/>
                <w:lang w:eastAsia="sk-SK"/>
              </w:rPr>
            </w:pPr>
            <w:r w:rsidRPr="000B37EF">
              <w:rPr>
                <w:rFonts w:ascii="Times New Roman" w:eastAsia="Times New Roman" w:hAnsi="Times New Roman"/>
                <w:sz w:val="24"/>
                <w:szCs w:val="24"/>
                <w:lang w:eastAsia="sk-SK"/>
              </w:rPr>
              <w:t> </w:t>
            </w:r>
          </w:p>
        </w:tc>
        <w:tc>
          <w:tcPr>
            <w:tcW w:w="420" w:type="pct"/>
            <w:tcBorders>
              <w:top w:val="single" w:sz="8" w:space="0" w:color="auto"/>
              <w:left w:val="nil"/>
              <w:bottom w:val="single" w:sz="8" w:space="0" w:color="auto"/>
              <w:right w:val="single" w:sz="8" w:space="0" w:color="auto"/>
            </w:tcBorders>
            <w:shd w:val="clear" w:color="auto" w:fill="auto"/>
            <w:noWrap/>
            <w:vAlign w:val="center"/>
          </w:tcPr>
          <w:p w14:paraId="66A1170F" w14:textId="77777777" w:rsidR="00B32407" w:rsidRDefault="00B32407" w:rsidP="003A7062">
            <w:pPr>
              <w:spacing w:after="0" w:line="240" w:lineRule="auto"/>
              <w:jc w:val="center"/>
              <w:rPr>
                <w:rFonts w:ascii="Times New Roman" w:eastAsia="Times New Roman" w:hAnsi="Times New Roman"/>
                <w:sz w:val="24"/>
                <w:szCs w:val="24"/>
                <w:lang w:eastAsia="sk-SK"/>
              </w:rPr>
            </w:pPr>
          </w:p>
          <w:p w14:paraId="4CFE82D3" w14:textId="77777777" w:rsidR="00B32407" w:rsidRDefault="00B32407" w:rsidP="003A7062">
            <w:pPr>
              <w:spacing w:after="0" w:line="240" w:lineRule="auto"/>
              <w:jc w:val="center"/>
              <w:rPr>
                <w:rFonts w:ascii="Times New Roman" w:eastAsia="Times New Roman" w:hAnsi="Times New Roman"/>
                <w:sz w:val="24"/>
                <w:szCs w:val="24"/>
                <w:lang w:eastAsia="sk-SK"/>
              </w:rPr>
            </w:pPr>
          </w:p>
          <w:p w14:paraId="5AEDB377" w14:textId="77777777" w:rsidR="00B32407" w:rsidRDefault="00B32407" w:rsidP="003A7062">
            <w:pPr>
              <w:spacing w:after="0" w:line="240" w:lineRule="auto"/>
              <w:jc w:val="center"/>
              <w:rPr>
                <w:rFonts w:ascii="Times New Roman" w:eastAsia="Times New Roman" w:hAnsi="Times New Roman"/>
                <w:sz w:val="24"/>
                <w:szCs w:val="24"/>
                <w:lang w:eastAsia="sk-SK"/>
              </w:rPr>
            </w:pPr>
          </w:p>
          <w:p w14:paraId="6C0ABBC3" w14:textId="77777777" w:rsidR="00B32407" w:rsidRDefault="00B32407" w:rsidP="003A7062">
            <w:pPr>
              <w:spacing w:after="0" w:line="240" w:lineRule="auto"/>
              <w:jc w:val="center"/>
              <w:rPr>
                <w:rFonts w:ascii="Times New Roman" w:eastAsia="Times New Roman" w:hAnsi="Times New Roman"/>
                <w:sz w:val="24"/>
                <w:szCs w:val="24"/>
                <w:lang w:eastAsia="sk-SK"/>
              </w:rPr>
            </w:pPr>
          </w:p>
          <w:p w14:paraId="72D21861" w14:textId="77777777" w:rsidR="00B32407" w:rsidRDefault="00B32407" w:rsidP="003A7062">
            <w:pPr>
              <w:spacing w:after="0" w:line="240" w:lineRule="auto"/>
              <w:jc w:val="center"/>
              <w:rPr>
                <w:rFonts w:ascii="Times New Roman" w:eastAsia="Times New Roman" w:hAnsi="Times New Roman"/>
                <w:sz w:val="24"/>
                <w:szCs w:val="24"/>
                <w:lang w:eastAsia="sk-SK"/>
              </w:rPr>
            </w:pPr>
          </w:p>
          <w:p w14:paraId="00FE3AB4" w14:textId="77777777" w:rsidR="00B32407" w:rsidRDefault="00B32407" w:rsidP="003A7062">
            <w:pPr>
              <w:spacing w:after="0" w:line="240" w:lineRule="auto"/>
              <w:jc w:val="center"/>
              <w:rPr>
                <w:rFonts w:ascii="Times New Roman" w:eastAsia="Times New Roman" w:hAnsi="Times New Roman"/>
                <w:sz w:val="24"/>
                <w:szCs w:val="24"/>
                <w:lang w:eastAsia="sk-SK"/>
              </w:rPr>
            </w:pPr>
          </w:p>
          <w:p w14:paraId="341EA970" w14:textId="77777777" w:rsidR="00B32407" w:rsidRDefault="00B32407" w:rsidP="003A7062">
            <w:pPr>
              <w:spacing w:after="0" w:line="240" w:lineRule="auto"/>
              <w:jc w:val="center"/>
              <w:rPr>
                <w:rFonts w:ascii="Times New Roman" w:eastAsia="Times New Roman" w:hAnsi="Times New Roman"/>
                <w:sz w:val="24"/>
                <w:szCs w:val="24"/>
                <w:lang w:eastAsia="sk-SK"/>
              </w:rPr>
            </w:pPr>
          </w:p>
          <w:p w14:paraId="17570150" w14:textId="77777777" w:rsidR="00B32407" w:rsidRDefault="00B32407" w:rsidP="003A7062">
            <w:pPr>
              <w:spacing w:after="0" w:line="240" w:lineRule="auto"/>
              <w:jc w:val="center"/>
              <w:rPr>
                <w:rFonts w:ascii="Times New Roman" w:eastAsia="Times New Roman" w:hAnsi="Times New Roman"/>
                <w:sz w:val="24"/>
                <w:szCs w:val="24"/>
                <w:lang w:eastAsia="sk-SK"/>
              </w:rPr>
            </w:pPr>
          </w:p>
          <w:p w14:paraId="7FDA0DF2" w14:textId="77777777" w:rsidR="00B32407" w:rsidRDefault="00B32407" w:rsidP="003A7062">
            <w:pPr>
              <w:spacing w:after="0" w:line="240" w:lineRule="auto"/>
              <w:jc w:val="center"/>
              <w:rPr>
                <w:rFonts w:ascii="Times New Roman" w:eastAsia="Times New Roman" w:hAnsi="Times New Roman"/>
                <w:sz w:val="24"/>
                <w:szCs w:val="24"/>
                <w:lang w:eastAsia="sk-SK"/>
              </w:rPr>
            </w:pPr>
          </w:p>
          <w:p w14:paraId="4287E5F3" w14:textId="77777777" w:rsidR="00326425" w:rsidRDefault="00326425" w:rsidP="003A7062">
            <w:pPr>
              <w:spacing w:after="0" w:line="240" w:lineRule="auto"/>
              <w:jc w:val="center"/>
              <w:rPr>
                <w:rFonts w:ascii="Times New Roman" w:eastAsia="Times New Roman" w:hAnsi="Times New Roman"/>
                <w:sz w:val="24"/>
                <w:szCs w:val="24"/>
                <w:lang w:eastAsia="sk-SK"/>
              </w:rPr>
            </w:pPr>
          </w:p>
          <w:p w14:paraId="728D854C" w14:textId="77777777" w:rsidR="0065194D" w:rsidRDefault="0065194D" w:rsidP="003A7062">
            <w:pPr>
              <w:spacing w:after="0" w:line="240" w:lineRule="auto"/>
              <w:jc w:val="center"/>
              <w:rPr>
                <w:rFonts w:ascii="Times New Roman" w:eastAsia="Times New Roman" w:hAnsi="Times New Roman"/>
                <w:sz w:val="24"/>
                <w:szCs w:val="24"/>
                <w:lang w:eastAsia="sk-SK"/>
              </w:rPr>
            </w:pPr>
          </w:p>
          <w:p w14:paraId="3A3FB5A3" w14:textId="1AFFDD92" w:rsidR="0065194D" w:rsidRDefault="0065194D" w:rsidP="003A7062">
            <w:pPr>
              <w:spacing w:after="0" w:line="240" w:lineRule="auto"/>
              <w:jc w:val="center"/>
              <w:rPr>
                <w:rFonts w:ascii="Times New Roman" w:eastAsia="Times New Roman" w:hAnsi="Times New Roman"/>
                <w:sz w:val="24"/>
                <w:szCs w:val="24"/>
                <w:lang w:eastAsia="sk-SK"/>
              </w:rPr>
            </w:pPr>
            <w:r>
              <w:rPr>
                <w:rFonts w:ascii="Times New Roman" w:eastAsia="Times New Roman" w:hAnsi="Times New Roman"/>
                <w:sz w:val="24"/>
                <w:szCs w:val="24"/>
                <w:lang w:eastAsia="sk-SK"/>
              </w:rPr>
              <w:br/>
            </w:r>
          </w:p>
          <w:p w14:paraId="06BA14C5" w14:textId="5F11A230" w:rsidR="0065194D" w:rsidRPr="000B37EF" w:rsidRDefault="0065194D" w:rsidP="003A7062">
            <w:pPr>
              <w:spacing w:after="0" w:line="240" w:lineRule="auto"/>
              <w:jc w:val="center"/>
              <w:rPr>
                <w:rFonts w:ascii="Times New Roman" w:eastAsia="Times New Roman" w:hAnsi="Times New Roman"/>
                <w:sz w:val="24"/>
                <w:szCs w:val="24"/>
                <w:lang w:eastAsia="sk-SK"/>
              </w:rPr>
            </w:pPr>
          </w:p>
        </w:tc>
      </w:tr>
      <w:tr w:rsidR="00326425" w:rsidRPr="000B37EF" w14:paraId="40540F8D" w14:textId="77777777" w:rsidTr="00132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722"/>
        </w:trPr>
        <w:tc>
          <w:tcPr>
            <w:tcW w:w="520" w:type="pct"/>
            <w:tcBorders>
              <w:top w:val="single" w:sz="8" w:space="0" w:color="auto"/>
              <w:left w:val="single" w:sz="8" w:space="0" w:color="auto"/>
              <w:bottom w:val="single" w:sz="8" w:space="0" w:color="auto"/>
              <w:right w:val="single" w:sz="8" w:space="0" w:color="auto"/>
            </w:tcBorders>
            <w:shd w:val="clear" w:color="auto" w:fill="auto"/>
            <w:vAlign w:val="center"/>
          </w:tcPr>
          <w:p w14:paraId="54C40921" w14:textId="77777777" w:rsidR="00326425" w:rsidRPr="000B37EF" w:rsidRDefault="00326425" w:rsidP="003A7062">
            <w:pPr>
              <w:spacing w:after="0" w:line="240" w:lineRule="auto"/>
              <w:jc w:val="center"/>
              <w:rPr>
                <w:rFonts w:ascii="Times New Roman" w:hAnsi="Times New Roman"/>
                <w:sz w:val="24"/>
                <w:szCs w:val="24"/>
                <w:lang w:eastAsia="sk-SK"/>
              </w:rPr>
            </w:pPr>
            <w:r w:rsidRPr="000B37EF">
              <w:rPr>
                <w:rFonts w:ascii="Times New Roman" w:hAnsi="Times New Roman"/>
                <w:sz w:val="24"/>
                <w:szCs w:val="24"/>
                <w:lang w:eastAsia="sk-SK"/>
              </w:rPr>
              <w:lastRenderedPageBreak/>
              <w:t>21158/2020-4110</w:t>
            </w:r>
            <w:r w:rsidRPr="000B37EF">
              <w:rPr>
                <w:rFonts w:ascii="Times New Roman" w:hAnsi="Times New Roman"/>
                <w:sz w:val="24"/>
                <w:szCs w:val="24"/>
                <w:lang w:eastAsia="sk-SK"/>
              </w:rPr>
              <w:br/>
              <w:t>11. 08. 2020</w:t>
            </w:r>
          </w:p>
        </w:tc>
        <w:tc>
          <w:tcPr>
            <w:tcW w:w="770" w:type="pct"/>
            <w:tcBorders>
              <w:top w:val="single" w:sz="8" w:space="0" w:color="auto"/>
              <w:left w:val="nil"/>
              <w:bottom w:val="single" w:sz="8" w:space="0" w:color="auto"/>
              <w:right w:val="single" w:sz="8" w:space="0" w:color="auto"/>
            </w:tcBorders>
            <w:shd w:val="clear" w:color="auto" w:fill="auto"/>
            <w:vAlign w:val="center"/>
          </w:tcPr>
          <w:p w14:paraId="7F9F219C" w14:textId="77777777" w:rsidR="00326425" w:rsidRPr="000B37EF" w:rsidRDefault="00326425" w:rsidP="003A7062">
            <w:pPr>
              <w:jc w:val="center"/>
              <w:rPr>
                <w:rFonts w:ascii="Times New Roman" w:hAnsi="Times New Roman"/>
                <w:sz w:val="24"/>
                <w:szCs w:val="24"/>
              </w:rPr>
            </w:pPr>
            <w:r w:rsidRPr="000B37EF">
              <w:rPr>
                <w:rFonts w:ascii="Times New Roman" w:hAnsi="Times New Roman"/>
                <w:sz w:val="24"/>
                <w:szCs w:val="24"/>
              </w:rPr>
              <w:t xml:space="preserve">Projekt </w:t>
            </w:r>
            <w:proofErr w:type="spellStart"/>
            <w:r w:rsidRPr="000B37EF">
              <w:rPr>
                <w:rFonts w:ascii="Times New Roman" w:hAnsi="Times New Roman"/>
                <w:sz w:val="24"/>
                <w:szCs w:val="24"/>
              </w:rPr>
              <w:t>Gamma</w:t>
            </w:r>
            <w:proofErr w:type="spellEnd"/>
            <w:r w:rsidRPr="000B37EF">
              <w:rPr>
                <w:rFonts w:ascii="Times New Roman" w:hAnsi="Times New Roman"/>
                <w:sz w:val="24"/>
                <w:szCs w:val="24"/>
              </w:rPr>
              <w:t xml:space="preserve"> s.r.o., Juraja Závodského</w:t>
            </w:r>
            <w:r w:rsidRPr="000B37EF">
              <w:rPr>
                <w:rFonts w:ascii="Times New Roman" w:hAnsi="Times New Roman"/>
                <w:sz w:val="24"/>
                <w:szCs w:val="24"/>
              </w:rPr>
              <w:br/>
              <w:t>453/49, 010 04 Žilina, IČO: 44 883 749</w:t>
            </w:r>
          </w:p>
        </w:tc>
        <w:tc>
          <w:tcPr>
            <w:tcW w:w="1080" w:type="pct"/>
            <w:tcBorders>
              <w:top w:val="single" w:sz="8" w:space="0" w:color="auto"/>
              <w:left w:val="nil"/>
              <w:bottom w:val="single" w:sz="8" w:space="0" w:color="auto"/>
              <w:right w:val="single" w:sz="8" w:space="0" w:color="auto"/>
            </w:tcBorders>
            <w:shd w:val="clear" w:color="auto" w:fill="auto"/>
            <w:vAlign w:val="center"/>
          </w:tcPr>
          <w:p w14:paraId="16D949B9" w14:textId="77777777" w:rsidR="00326425" w:rsidRPr="000B37EF" w:rsidRDefault="00326425" w:rsidP="003A7062">
            <w:pPr>
              <w:jc w:val="center"/>
              <w:rPr>
                <w:rFonts w:ascii="Times New Roman" w:hAnsi="Times New Roman"/>
                <w:sz w:val="24"/>
                <w:szCs w:val="24"/>
              </w:rPr>
            </w:pPr>
            <w:r>
              <w:rPr>
                <w:rFonts w:ascii="Times New Roman" w:hAnsi="Times New Roman"/>
                <w:sz w:val="24"/>
                <w:szCs w:val="24"/>
              </w:rPr>
              <w:t>š</w:t>
            </w:r>
            <w:r w:rsidRPr="000B37EF">
              <w:rPr>
                <w:rFonts w:ascii="Times New Roman" w:hAnsi="Times New Roman"/>
                <w:sz w:val="24"/>
                <w:szCs w:val="24"/>
              </w:rPr>
              <w:t xml:space="preserve">tatutár: Ing. Michal </w:t>
            </w:r>
            <w:proofErr w:type="spellStart"/>
            <w:r w:rsidRPr="000B37EF">
              <w:rPr>
                <w:rFonts w:ascii="Times New Roman" w:hAnsi="Times New Roman"/>
                <w:sz w:val="24"/>
                <w:szCs w:val="24"/>
              </w:rPr>
              <w:t>Kozáček</w:t>
            </w:r>
            <w:proofErr w:type="spellEnd"/>
          </w:p>
        </w:tc>
        <w:tc>
          <w:tcPr>
            <w:tcW w:w="827" w:type="pct"/>
            <w:tcBorders>
              <w:top w:val="single" w:sz="8" w:space="0" w:color="auto"/>
              <w:left w:val="nil"/>
              <w:bottom w:val="single" w:sz="8" w:space="0" w:color="auto"/>
              <w:right w:val="single" w:sz="8" w:space="0" w:color="auto"/>
            </w:tcBorders>
            <w:shd w:val="clear" w:color="auto" w:fill="auto"/>
            <w:vAlign w:val="center"/>
          </w:tcPr>
          <w:p w14:paraId="28EDEED6" w14:textId="77777777" w:rsidR="00326425" w:rsidRPr="000B37EF" w:rsidRDefault="00326425" w:rsidP="003A7062">
            <w:pPr>
              <w:jc w:val="center"/>
              <w:rPr>
                <w:rFonts w:ascii="Times New Roman" w:hAnsi="Times New Roman"/>
                <w:sz w:val="24"/>
                <w:szCs w:val="24"/>
              </w:rPr>
            </w:pPr>
            <w:r w:rsidRPr="000B37EF">
              <w:rPr>
                <w:rFonts w:ascii="Times New Roman" w:hAnsi="Times New Roman"/>
                <w:sz w:val="24"/>
                <w:szCs w:val="24"/>
              </w:rPr>
              <w:t>k. ú. Terchová na pozemkoch C KN 15700/6, 15700/21, 15700/22,15700/23, 15700/41, 15700/60, 15700/62</w:t>
            </w:r>
          </w:p>
        </w:tc>
        <w:tc>
          <w:tcPr>
            <w:tcW w:w="1075" w:type="pct"/>
            <w:tcBorders>
              <w:top w:val="single" w:sz="8" w:space="0" w:color="auto"/>
              <w:left w:val="nil"/>
              <w:bottom w:val="single" w:sz="8" w:space="0" w:color="auto"/>
              <w:right w:val="single" w:sz="8" w:space="0" w:color="auto"/>
            </w:tcBorders>
            <w:shd w:val="clear" w:color="auto" w:fill="auto"/>
            <w:vAlign w:val="center"/>
          </w:tcPr>
          <w:p w14:paraId="4AF05D29" w14:textId="77777777" w:rsidR="00326425" w:rsidRPr="000B37EF" w:rsidRDefault="00326425" w:rsidP="003A7062">
            <w:pPr>
              <w:jc w:val="center"/>
              <w:rPr>
                <w:rFonts w:ascii="Times New Roman" w:hAnsi="Times New Roman"/>
                <w:sz w:val="24"/>
                <w:szCs w:val="24"/>
              </w:rPr>
            </w:pPr>
            <w:r>
              <w:rPr>
                <w:rFonts w:ascii="Times New Roman" w:hAnsi="Times New Roman"/>
                <w:sz w:val="24"/>
                <w:szCs w:val="24"/>
              </w:rPr>
              <w:t>v</w:t>
            </w:r>
            <w:r w:rsidRPr="000B37EF">
              <w:rPr>
                <w:rFonts w:ascii="Times New Roman" w:hAnsi="Times New Roman"/>
                <w:sz w:val="24"/>
                <w:szCs w:val="24"/>
              </w:rPr>
              <w:t>ýstavba nadväzujúcej distribučnej plynárenskej siete Terchová - Vŕšky</w:t>
            </w:r>
          </w:p>
        </w:tc>
        <w:tc>
          <w:tcPr>
            <w:tcW w:w="308" w:type="pct"/>
            <w:tcBorders>
              <w:top w:val="single" w:sz="8" w:space="0" w:color="auto"/>
              <w:left w:val="nil"/>
              <w:bottom w:val="single" w:sz="8" w:space="0" w:color="auto"/>
              <w:right w:val="single" w:sz="8" w:space="0" w:color="auto"/>
            </w:tcBorders>
            <w:shd w:val="clear" w:color="auto" w:fill="auto"/>
            <w:noWrap/>
            <w:vAlign w:val="center"/>
          </w:tcPr>
          <w:p w14:paraId="0232CA6F" w14:textId="2255D421" w:rsidR="00326425" w:rsidRPr="000B37EF" w:rsidRDefault="00326425" w:rsidP="003A7062">
            <w:pPr>
              <w:spacing w:after="0" w:line="240" w:lineRule="auto"/>
              <w:jc w:val="center"/>
              <w:rPr>
                <w:rFonts w:ascii="Times New Roman" w:eastAsia="Times New Roman" w:hAnsi="Times New Roman"/>
                <w:sz w:val="24"/>
                <w:szCs w:val="24"/>
                <w:lang w:eastAsia="sk-SK"/>
              </w:rPr>
            </w:pPr>
          </w:p>
        </w:tc>
        <w:tc>
          <w:tcPr>
            <w:tcW w:w="420" w:type="pct"/>
            <w:tcBorders>
              <w:top w:val="single" w:sz="8" w:space="0" w:color="auto"/>
              <w:left w:val="nil"/>
              <w:bottom w:val="single" w:sz="8" w:space="0" w:color="auto"/>
              <w:right w:val="single" w:sz="8" w:space="0" w:color="auto"/>
            </w:tcBorders>
            <w:shd w:val="clear" w:color="auto" w:fill="auto"/>
            <w:noWrap/>
            <w:vAlign w:val="center"/>
          </w:tcPr>
          <w:p w14:paraId="718CC44F" w14:textId="51B7B7D9" w:rsidR="00326425" w:rsidRPr="000B37EF" w:rsidRDefault="00326425" w:rsidP="003A7062">
            <w:pPr>
              <w:spacing w:after="0" w:line="240" w:lineRule="auto"/>
              <w:jc w:val="center"/>
              <w:rPr>
                <w:rFonts w:ascii="Times New Roman" w:eastAsia="Times New Roman" w:hAnsi="Times New Roman"/>
                <w:sz w:val="24"/>
                <w:szCs w:val="24"/>
                <w:lang w:eastAsia="sk-SK"/>
              </w:rPr>
            </w:pPr>
          </w:p>
        </w:tc>
      </w:tr>
      <w:tr w:rsidR="00326425" w:rsidRPr="000B37EF" w14:paraId="67F9F873" w14:textId="77777777" w:rsidTr="00132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722"/>
        </w:trPr>
        <w:tc>
          <w:tcPr>
            <w:tcW w:w="520" w:type="pct"/>
            <w:tcBorders>
              <w:top w:val="single" w:sz="8" w:space="0" w:color="auto"/>
              <w:left w:val="single" w:sz="8" w:space="0" w:color="auto"/>
              <w:bottom w:val="single" w:sz="8" w:space="0" w:color="auto"/>
              <w:right w:val="single" w:sz="8" w:space="0" w:color="auto"/>
            </w:tcBorders>
            <w:shd w:val="clear" w:color="auto" w:fill="auto"/>
            <w:vAlign w:val="center"/>
          </w:tcPr>
          <w:p w14:paraId="73E56092" w14:textId="3C765647" w:rsidR="00326425" w:rsidRPr="000B37EF" w:rsidRDefault="00326425" w:rsidP="003A7062">
            <w:pPr>
              <w:spacing w:after="0" w:line="240" w:lineRule="auto"/>
              <w:jc w:val="center"/>
              <w:rPr>
                <w:rFonts w:ascii="Times New Roman" w:hAnsi="Times New Roman"/>
                <w:sz w:val="24"/>
                <w:szCs w:val="24"/>
                <w:lang w:eastAsia="sk-SK"/>
              </w:rPr>
            </w:pPr>
            <w:r w:rsidRPr="000B37EF">
              <w:rPr>
                <w:rFonts w:ascii="Times New Roman" w:hAnsi="Times New Roman"/>
                <w:sz w:val="24"/>
                <w:szCs w:val="24"/>
                <w:lang w:eastAsia="sk-SK"/>
              </w:rPr>
              <w:t>5139/2020-4110</w:t>
            </w:r>
            <w:r w:rsidRPr="000B37EF">
              <w:rPr>
                <w:rFonts w:ascii="Times New Roman" w:hAnsi="Times New Roman"/>
                <w:sz w:val="24"/>
                <w:szCs w:val="24"/>
                <w:lang w:eastAsia="sk-SK"/>
              </w:rPr>
              <w:br/>
              <w:t>11. 08. 2020</w:t>
            </w:r>
          </w:p>
        </w:tc>
        <w:tc>
          <w:tcPr>
            <w:tcW w:w="770" w:type="pct"/>
            <w:tcBorders>
              <w:top w:val="single" w:sz="8" w:space="0" w:color="auto"/>
              <w:left w:val="nil"/>
              <w:bottom w:val="single" w:sz="8" w:space="0" w:color="auto"/>
              <w:right w:val="single" w:sz="8" w:space="0" w:color="auto"/>
            </w:tcBorders>
            <w:shd w:val="clear" w:color="auto" w:fill="auto"/>
            <w:vAlign w:val="center"/>
          </w:tcPr>
          <w:p w14:paraId="41B6C4C3" w14:textId="77777777" w:rsidR="00326425" w:rsidRPr="000B37EF" w:rsidRDefault="00326425" w:rsidP="003A7062">
            <w:pPr>
              <w:jc w:val="center"/>
              <w:rPr>
                <w:rFonts w:ascii="Times New Roman" w:hAnsi="Times New Roman"/>
                <w:sz w:val="24"/>
                <w:szCs w:val="24"/>
              </w:rPr>
            </w:pPr>
            <w:r w:rsidRPr="000B37EF">
              <w:rPr>
                <w:rFonts w:ascii="Times New Roman" w:hAnsi="Times New Roman"/>
                <w:sz w:val="24"/>
                <w:szCs w:val="24"/>
              </w:rPr>
              <w:t>ENERGY ONE, s. r. o., Čachtická 13, 831 06 Bratislava, IČO 31 366 937</w:t>
            </w:r>
          </w:p>
        </w:tc>
        <w:tc>
          <w:tcPr>
            <w:tcW w:w="1080" w:type="pct"/>
            <w:tcBorders>
              <w:top w:val="single" w:sz="8" w:space="0" w:color="auto"/>
              <w:left w:val="nil"/>
              <w:bottom w:val="single" w:sz="8" w:space="0" w:color="auto"/>
              <w:right w:val="single" w:sz="8" w:space="0" w:color="auto"/>
            </w:tcBorders>
            <w:shd w:val="clear" w:color="auto" w:fill="auto"/>
            <w:vAlign w:val="center"/>
          </w:tcPr>
          <w:p w14:paraId="1BA7531F" w14:textId="77777777" w:rsidR="00326425" w:rsidRPr="000B37EF" w:rsidRDefault="00326425" w:rsidP="003A7062">
            <w:pPr>
              <w:jc w:val="center"/>
              <w:rPr>
                <w:rFonts w:ascii="Times New Roman" w:hAnsi="Times New Roman"/>
                <w:sz w:val="24"/>
                <w:szCs w:val="24"/>
              </w:rPr>
            </w:pPr>
            <w:r w:rsidRPr="000B37EF">
              <w:rPr>
                <w:rFonts w:ascii="Times New Roman" w:hAnsi="Times New Roman"/>
                <w:sz w:val="24"/>
                <w:szCs w:val="24"/>
              </w:rPr>
              <w:t xml:space="preserve">zastúpená konateľmi: Ing. Radoslavom </w:t>
            </w:r>
            <w:proofErr w:type="spellStart"/>
            <w:r w:rsidRPr="000B37EF">
              <w:rPr>
                <w:rFonts w:ascii="Times New Roman" w:hAnsi="Times New Roman"/>
                <w:sz w:val="24"/>
                <w:szCs w:val="24"/>
              </w:rPr>
              <w:t>Mulikom</w:t>
            </w:r>
            <w:proofErr w:type="spellEnd"/>
            <w:r w:rsidRPr="000B37EF">
              <w:rPr>
                <w:rFonts w:ascii="Times New Roman" w:hAnsi="Times New Roman"/>
                <w:sz w:val="24"/>
                <w:szCs w:val="24"/>
              </w:rPr>
              <w:t xml:space="preserve"> a Ing. Martinom </w:t>
            </w:r>
            <w:proofErr w:type="spellStart"/>
            <w:r w:rsidRPr="000B37EF">
              <w:rPr>
                <w:rFonts w:ascii="Times New Roman" w:hAnsi="Times New Roman"/>
                <w:sz w:val="24"/>
                <w:szCs w:val="24"/>
              </w:rPr>
              <w:t>Bartolčičom</w:t>
            </w:r>
            <w:proofErr w:type="spellEnd"/>
          </w:p>
        </w:tc>
        <w:tc>
          <w:tcPr>
            <w:tcW w:w="827" w:type="pct"/>
            <w:tcBorders>
              <w:top w:val="single" w:sz="8" w:space="0" w:color="auto"/>
              <w:left w:val="nil"/>
              <w:bottom w:val="single" w:sz="8" w:space="0" w:color="auto"/>
              <w:right w:val="single" w:sz="8" w:space="0" w:color="auto"/>
            </w:tcBorders>
            <w:shd w:val="clear" w:color="auto" w:fill="auto"/>
            <w:vAlign w:val="center"/>
          </w:tcPr>
          <w:p w14:paraId="7D2C7D69" w14:textId="77777777" w:rsidR="00326425" w:rsidRPr="000B37EF" w:rsidRDefault="00326425" w:rsidP="003A7062">
            <w:pPr>
              <w:jc w:val="center"/>
              <w:rPr>
                <w:rFonts w:ascii="Times New Roman" w:hAnsi="Times New Roman"/>
                <w:sz w:val="24"/>
                <w:szCs w:val="24"/>
              </w:rPr>
            </w:pPr>
            <w:r w:rsidRPr="000B37EF">
              <w:rPr>
                <w:rFonts w:ascii="Times New Roman" w:hAnsi="Times New Roman"/>
                <w:sz w:val="24"/>
                <w:szCs w:val="24"/>
              </w:rPr>
              <w:t>katastrálne územie Bratislavy – Nivy na parcele číslo: 9360/3,9360/4, 9360/27,9360/32 a 9360/33</w:t>
            </w:r>
          </w:p>
        </w:tc>
        <w:tc>
          <w:tcPr>
            <w:tcW w:w="1075" w:type="pct"/>
            <w:tcBorders>
              <w:top w:val="single" w:sz="8" w:space="0" w:color="auto"/>
              <w:left w:val="nil"/>
              <w:bottom w:val="single" w:sz="8" w:space="0" w:color="auto"/>
              <w:right w:val="single" w:sz="8" w:space="0" w:color="auto"/>
            </w:tcBorders>
            <w:shd w:val="clear" w:color="auto" w:fill="auto"/>
            <w:vAlign w:val="center"/>
          </w:tcPr>
          <w:p w14:paraId="2ED42B58" w14:textId="77777777" w:rsidR="00326425" w:rsidRPr="000B37EF" w:rsidRDefault="00326425" w:rsidP="003A7062">
            <w:pPr>
              <w:jc w:val="center"/>
              <w:rPr>
                <w:rFonts w:ascii="Times New Roman" w:hAnsi="Times New Roman"/>
                <w:sz w:val="24"/>
                <w:szCs w:val="24"/>
              </w:rPr>
            </w:pPr>
            <w:r>
              <w:rPr>
                <w:rFonts w:ascii="Times New Roman" w:hAnsi="Times New Roman"/>
                <w:sz w:val="24"/>
                <w:szCs w:val="24"/>
              </w:rPr>
              <w:t>t</w:t>
            </w:r>
            <w:r w:rsidRPr="000B37EF">
              <w:rPr>
                <w:rFonts w:ascii="Times New Roman" w:hAnsi="Times New Roman"/>
                <w:sz w:val="24"/>
                <w:szCs w:val="24"/>
              </w:rPr>
              <w:t xml:space="preserve">rafostanica </w:t>
            </w:r>
            <w:r>
              <w:rPr>
                <w:rFonts w:ascii="Times New Roman" w:hAnsi="Times New Roman"/>
                <w:sz w:val="24"/>
                <w:szCs w:val="24"/>
              </w:rPr>
              <w:t xml:space="preserve">22/04 </w:t>
            </w:r>
            <w:proofErr w:type="spellStart"/>
            <w:r>
              <w:rPr>
                <w:rFonts w:ascii="Times New Roman" w:hAnsi="Times New Roman"/>
                <w:sz w:val="24"/>
                <w:szCs w:val="24"/>
              </w:rPr>
              <w:t>kV</w:t>
            </w:r>
            <w:proofErr w:type="spellEnd"/>
            <w:r>
              <w:rPr>
                <w:rFonts w:ascii="Times New Roman" w:hAnsi="Times New Roman"/>
                <w:sz w:val="24"/>
                <w:szCs w:val="24"/>
              </w:rPr>
              <w:t xml:space="preserve"> pre </w:t>
            </w:r>
            <w:proofErr w:type="spellStart"/>
            <w:r>
              <w:rPr>
                <w:rFonts w:ascii="Times New Roman" w:hAnsi="Times New Roman"/>
                <w:sz w:val="24"/>
                <w:szCs w:val="24"/>
              </w:rPr>
              <w:t>Discovery</w:t>
            </w:r>
            <w:proofErr w:type="spellEnd"/>
            <w:r>
              <w:rPr>
                <w:rFonts w:ascii="Times New Roman" w:hAnsi="Times New Roman"/>
                <w:sz w:val="24"/>
                <w:szCs w:val="24"/>
              </w:rPr>
              <w:t xml:space="preserve"> </w:t>
            </w:r>
            <w:proofErr w:type="spellStart"/>
            <w:r>
              <w:rPr>
                <w:rFonts w:ascii="Times New Roman" w:hAnsi="Times New Roman"/>
                <w:sz w:val="24"/>
                <w:szCs w:val="24"/>
              </w:rPr>
              <w:t>Tower</w:t>
            </w:r>
            <w:proofErr w:type="spellEnd"/>
            <w:r>
              <w:rPr>
                <w:rFonts w:ascii="Times New Roman" w:hAnsi="Times New Roman"/>
                <w:sz w:val="24"/>
                <w:szCs w:val="24"/>
              </w:rPr>
              <w:t xml:space="preserve"> – b</w:t>
            </w:r>
            <w:r w:rsidRPr="000B37EF">
              <w:rPr>
                <w:rFonts w:ascii="Times New Roman" w:hAnsi="Times New Roman"/>
                <w:sz w:val="24"/>
                <w:szCs w:val="24"/>
              </w:rPr>
              <w:t>ytový dom</w:t>
            </w:r>
          </w:p>
        </w:tc>
        <w:tc>
          <w:tcPr>
            <w:tcW w:w="308" w:type="pct"/>
            <w:tcBorders>
              <w:top w:val="single" w:sz="8" w:space="0" w:color="auto"/>
              <w:left w:val="nil"/>
              <w:bottom w:val="single" w:sz="8" w:space="0" w:color="auto"/>
              <w:right w:val="single" w:sz="8" w:space="0" w:color="auto"/>
            </w:tcBorders>
            <w:shd w:val="clear" w:color="auto" w:fill="auto"/>
            <w:noWrap/>
            <w:vAlign w:val="center"/>
          </w:tcPr>
          <w:p w14:paraId="1C8F8EBC" w14:textId="1014F313" w:rsidR="00326425" w:rsidRPr="000B37EF" w:rsidRDefault="00326425" w:rsidP="003A7062">
            <w:pPr>
              <w:spacing w:after="0" w:line="240" w:lineRule="auto"/>
              <w:jc w:val="center"/>
              <w:rPr>
                <w:rFonts w:ascii="Times New Roman" w:eastAsia="Times New Roman" w:hAnsi="Times New Roman"/>
                <w:sz w:val="24"/>
                <w:szCs w:val="24"/>
                <w:lang w:eastAsia="sk-SK"/>
              </w:rPr>
            </w:pPr>
          </w:p>
        </w:tc>
        <w:tc>
          <w:tcPr>
            <w:tcW w:w="420" w:type="pct"/>
            <w:tcBorders>
              <w:top w:val="single" w:sz="8" w:space="0" w:color="auto"/>
              <w:left w:val="nil"/>
              <w:bottom w:val="single" w:sz="8" w:space="0" w:color="auto"/>
              <w:right w:val="single" w:sz="8" w:space="0" w:color="auto"/>
            </w:tcBorders>
            <w:shd w:val="clear" w:color="auto" w:fill="auto"/>
            <w:noWrap/>
            <w:vAlign w:val="center"/>
          </w:tcPr>
          <w:p w14:paraId="4A638BE0" w14:textId="0EBDE151" w:rsidR="00326425" w:rsidRPr="000B37EF" w:rsidRDefault="00326425" w:rsidP="003A7062">
            <w:pPr>
              <w:spacing w:after="0" w:line="240" w:lineRule="auto"/>
              <w:jc w:val="center"/>
              <w:rPr>
                <w:rFonts w:ascii="Times New Roman" w:eastAsia="Times New Roman" w:hAnsi="Times New Roman"/>
                <w:sz w:val="24"/>
                <w:szCs w:val="24"/>
                <w:lang w:eastAsia="sk-SK"/>
              </w:rPr>
            </w:pPr>
          </w:p>
        </w:tc>
      </w:tr>
      <w:tr w:rsidR="00326425" w:rsidRPr="000B37EF" w14:paraId="234D4983" w14:textId="77777777" w:rsidTr="00D029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cantSplit/>
          <w:trHeight w:hRule="exact" w:val="3119"/>
        </w:trPr>
        <w:tc>
          <w:tcPr>
            <w:tcW w:w="520" w:type="pct"/>
            <w:tcBorders>
              <w:top w:val="single" w:sz="8" w:space="0" w:color="auto"/>
              <w:left w:val="single" w:sz="8" w:space="0" w:color="auto"/>
              <w:bottom w:val="single" w:sz="8" w:space="0" w:color="auto"/>
              <w:right w:val="single" w:sz="8" w:space="0" w:color="auto"/>
            </w:tcBorders>
            <w:shd w:val="clear" w:color="auto" w:fill="auto"/>
            <w:vAlign w:val="center"/>
          </w:tcPr>
          <w:p w14:paraId="7BBD3914" w14:textId="77777777" w:rsidR="00326425" w:rsidRPr="000B37EF" w:rsidRDefault="00326425" w:rsidP="003A7062">
            <w:pPr>
              <w:spacing w:after="0" w:line="240" w:lineRule="auto"/>
              <w:jc w:val="center"/>
              <w:rPr>
                <w:rFonts w:ascii="Times New Roman" w:hAnsi="Times New Roman"/>
                <w:sz w:val="24"/>
                <w:szCs w:val="24"/>
                <w:lang w:eastAsia="sk-SK"/>
              </w:rPr>
            </w:pPr>
            <w:r w:rsidRPr="000B37EF">
              <w:rPr>
                <w:rFonts w:ascii="Times New Roman" w:hAnsi="Times New Roman"/>
                <w:sz w:val="24"/>
                <w:szCs w:val="24"/>
                <w:lang w:eastAsia="sk-SK"/>
              </w:rPr>
              <w:t>25141/2020-4110</w:t>
            </w:r>
            <w:r w:rsidRPr="000B37EF">
              <w:rPr>
                <w:rFonts w:ascii="Times New Roman" w:hAnsi="Times New Roman"/>
                <w:sz w:val="24"/>
                <w:szCs w:val="24"/>
                <w:lang w:eastAsia="sk-SK"/>
              </w:rPr>
              <w:br/>
              <w:t>07. 09. 2020</w:t>
            </w:r>
          </w:p>
        </w:tc>
        <w:tc>
          <w:tcPr>
            <w:tcW w:w="770" w:type="pct"/>
            <w:tcBorders>
              <w:top w:val="single" w:sz="8" w:space="0" w:color="auto"/>
              <w:left w:val="nil"/>
              <w:bottom w:val="single" w:sz="8" w:space="0" w:color="auto"/>
              <w:right w:val="single" w:sz="8" w:space="0" w:color="auto"/>
            </w:tcBorders>
            <w:shd w:val="clear" w:color="auto" w:fill="auto"/>
            <w:vAlign w:val="center"/>
          </w:tcPr>
          <w:p w14:paraId="2543A449" w14:textId="77777777" w:rsidR="00326425" w:rsidRPr="000B37EF" w:rsidRDefault="00326425" w:rsidP="003A7062">
            <w:pPr>
              <w:jc w:val="center"/>
              <w:rPr>
                <w:rFonts w:ascii="Times New Roman" w:hAnsi="Times New Roman"/>
                <w:sz w:val="24"/>
                <w:szCs w:val="24"/>
              </w:rPr>
            </w:pPr>
            <w:r w:rsidRPr="000B37EF">
              <w:rPr>
                <w:rFonts w:ascii="Times New Roman" w:hAnsi="Times New Roman"/>
                <w:sz w:val="24"/>
                <w:szCs w:val="24"/>
              </w:rPr>
              <w:t>Západoslovenská distribučná, a.s., Čulenova 6, 816 47 Bratislava, IČO 36 361 518</w:t>
            </w:r>
          </w:p>
        </w:tc>
        <w:tc>
          <w:tcPr>
            <w:tcW w:w="1080" w:type="pct"/>
            <w:tcBorders>
              <w:top w:val="single" w:sz="8" w:space="0" w:color="auto"/>
              <w:left w:val="nil"/>
              <w:bottom w:val="single" w:sz="8" w:space="0" w:color="auto"/>
              <w:right w:val="single" w:sz="8" w:space="0" w:color="auto"/>
            </w:tcBorders>
            <w:shd w:val="clear" w:color="auto" w:fill="auto"/>
            <w:vAlign w:val="center"/>
          </w:tcPr>
          <w:p w14:paraId="2F024D47" w14:textId="77777777" w:rsidR="00326425" w:rsidRPr="000B37EF" w:rsidRDefault="00326425" w:rsidP="003A7062">
            <w:pPr>
              <w:jc w:val="center"/>
              <w:rPr>
                <w:rFonts w:ascii="Times New Roman" w:hAnsi="Times New Roman"/>
                <w:sz w:val="24"/>
                <w:szCs w:val="24"/>
              </w:rPr>
            </w:pPr>
            <w:r>
              <w:rPr>
                <w:rFonts w:ascii="Times New Roman" w:hAnsi="Times New Roman"/>
                <w:sz w:val="24"/>
                <w:szCs w:val="24"/>
              </w:rPr>
              <w:t>Ing. Tomáš Turek, Ph</w:t>
            </w:r>
            <w:r w:rsidRPr="000B37EF">
              <w:rPr>
                <w:rFonts w:ascii="Times New Roman" w:hAnsi="Times New Roman"/>
                <w:sz w:val="24"/>
                <w:szCs w:val="24"/>
              </w:rPr>
              <w:t xml:space="preserve">D., podpredseda predstavenstva Mgr. Vladimír </w:t>
            </w:r>
            <w:proofErr w:type="spellStart"/>
            <w:r w:rsidRPr="000B37EF">
              <w:rPr>
                <w:rFonts w:ascii="Times New Roman" w:hAnsi="Times New Roman"/>
                <w:sz w:val="24"/>
                <w:szCs w:val="24"/>
              </w:rPr>
              <w:t>Cipciar</w:t>
            </w:r>
            <w:proofErr w:type="spellEnd"/>
            <w:r w:rsidRPr="000B37EF">
              <w:rPr>
                <w:rFonts w:ascii="Times New Roman" w:hAnsi="Times New Roman"/>
                <w:sz w:val="24"/>
                <w:szCs w:val="24"/>
              </w:rPr>
              <w:t>, člen predstavenstva Ing. Marian Kapec, člen predstavenstva Ing. Martin Mišík, člen pred</w:t>
            </w:r>
            <w:r>
              <w:rPr>
                <w:rFonts w:ascii="Times New Roman" w:hAnsi="Times New Roman"/>
                <w:sz w:val="24"/>
                <w:szCs w:val="24"/>
              </w:rPr>
              <w:t>stavenstva Ing. Miroslav Otočka</w:t>
            </w:r>
          </w:p>
        </w:tc>
        <w:tc>
          <w:tcPr>
            <w:tcW w:w="827" w:type="pct"/>
            <w:tcBorders>
              <w:top w:val="single" w:sz="8" w:space="0" w:color="auto"/>
              <w:left w:val="nil"/>
              <w:bottom w:val="single" w:sz="8" w:space="0" w:color="auto"/>
              <w:right w:val="single" w:sz="8" w:space="0" w:color="auto"/>
            </w:tcBorders>
            <w:shd w:val="clear" w:color="auto" w:fill="auto"/>
            <w:vAlign w:val="center"/>
          </w:tcPr>
          <w:p w14:paraId="065B5E95" w14:textId="77777777" w:rsidR="00326425" w:rsidRPr="000B37EF" w:rsidRDefault="00326425" w:rsidP="003A7062">
            <w:pPr>
              <w:jc w:val="center"/>
              <w:rPr>
                <w:rFonts w:ascii="Times New Roman" w:hAnsi="Times New Roman"/>
                <w:sz w:val="24"/>
                <w:szCs w:val="24"/>
              </w:rPr>
            </w:pPr>
            <w:r w:rsidRPr="000B37EF">
              <w:rPr>
                <w:rFonts w:ascii="Times New Roman" w:hAnsi="Times New Roman"/>
                <w:sz w:val="24"/>
                <w:szCs w:val="24"/>
              </w:rPr>
              <w:t>katastrálne územie Senica</w:t>
            </w:r>
          </w:p>
        </w:tc>
        <w:tc>
          <w:tcPr>
            <w:tcW w:w="1075" w:type="pct"/>
            <w:tcBorders>
              <w:top w:val="single" w:sz="8" w:space="0" w:color="auto"/>
              <w:left w:val="nil"/>
              <w:bottom w:val="single" w:sz="8" w:space="0" w:color="auto"/>
              <w:right w:val="single" w:sz="8" w:space="0" w:color="auto"/>
            </w:tcBorders>
            <w:shd w:val="clear" w:color="auto" w:fill="auto"/>
            <w:vAlign w:val="center"/>
          </w:tcPr>
          <w:p w14:paraId="7A484009" w14:textId="77777777" w:rsidR="00326425" w:rsidRPr="000B37EF" w:rsidRDefault="00326425" w:rsidP="003A7062">
            <w:pPr>
              <w:jc w:val="center"/>
              <w:rPr>
                <w:rFonts w:ascii="Times New Roman" w:hAnsi="Times New Roman"/>
                <w:sz w:val="24"/>
                <w:szCs w:val="24"/>
              </w:rPr>
            </w:pPr>
            <w:r w:rsidRPr="000B37EF">
              <w:rPr>
                <w:rFonts w:ascii="Times New Roman" w:hAnsi="Times New Roman"/>
                <w:sz w:val="24"/>
                <w:szCs w:val="24"/>
              </w:rPr>
              <w:t>VVN R8004 ES Senica – dostavba pre T401</w:t>
            </w:r>
          </w:p>
        </w:tc>
        <w:tc>
          <w:tcPr>
            <w:tcW w:w="308" w:type="pct"/>
            <w:tcBorders>
              <w:top w:val="single" w:sz="8" w:space="0" w:color="auto"/>
              <w:left w:val="nil"/>
              <w:bottom w:val="single" w:sz="8" w:space="0" w:color="auto"/>
              <w:right w:val="single" w:sz="8" w:space="0" w:color="auto"/>
            </w:tcBorders>
            <w:shd w:val="clear" w:color="auto" w:fill="auto"/>
            <w:noWrap/>
            <w:vAlign w:val="center"/>
          </w:tcPr>
          <w:p w14:paraId="40CD852B" w14:textId="08197EA6" w:rsidR="00326425" w:rsidRPr="000B37EF" w:rsidRDefault="00326425" w:rsidP="003A7062">
            <w:pPr>
              <w:spacing w:after="0" w:line="240" w:lineRule="auto"/>
              <w:jc w:val="center"/>
              <w:rPr>
                <w:rFonts w:ascii="Times New Roman" w:eastAsia="Times New Roman" w:hAnsi="Times New Roman"/>
                <w:sz w:val="24"/>
                <w:szCs w:val="24"/>
                <w:lang w:eastAsia="sk-SK"/>
              </w:rPr>
            </w:pPr>
          </w:p>
        </w:tc>
        <w:tc>
          <w:tcPr>
            <w:tcW w:w="420" w:type="pct"/>
            <w:tcBorders>
              <w:top w:val="single" w:sz="8" w:space="0" w:color="auto"/>
              <w:left w:val="nil"/>
              <w:bottom w:val="single" w:sz="8" w:space="0" w:color="auto"/>
              <w:right w:val="single" w:sz="8" w:space="0" w:color="auto"/>
            </w:tcBorders>
            <w:shd w:val="clear" w:color="auto" w:fill="auto"/>
            <w:noWrap/>
            <w:vAlign w:val="center"/>
          </w:tcPr>
          <w:p w14:paraId="277A8BAE" w14:textId="551C5F06" w:rsidR="00326425" w:rsidRPr="000B37EF" w:rsidRDefault="00326425" w:rsidP="003A7062">
            <w:pPr>
              <w:spacing w:after="0" w:line="240" w:lineRule="auto"/>
              <w:jc w:val="center"/>
              <w:rPr>
                <w:rFonts w:ascii="Times New Roman" w:eastAsia="Times New Roman" w:hAnsi="Times New Roman"/>
                <w:sz w:val="24"/>
                <w:szCs w:val="24"/>
                <w:lang w:eastAsia="sk-SK"/>
              </w:rPr>
            </w:pPr>
          </w:p>
        </w:tc>
      </w:tr>
      <w:tr w:rsidR="00326425" w:rsidRPr="000B37EF" w14:paraId="325E06BC" w14:textId="77777777" w:rsidTr="00132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948"/>
        </w:trPr>
        <w:tc>
          <w:tcPr>
            <w:tcW w:w="520" w:type="pct"/>
            <w:tcBorders>
              <w:top w:val="single" w:sz="8" w:space="0" w:color="auto"/>
              <w:left w:val="single" w:sz="8" w:space="0" w:color="auto"/>
              <w:bottom w:val="single" w:sz="8" w:space="0" w:color="auto"/>
              <w:right w:val="single" w:sz="8" w:space="0" w:color="auto"/>
            </w:tcBorders>
            <w:shd w:val="clear" w:color="auto" w:fill="auto"/>
            <w:vAlign w:val="center"/>
          </w:tcPr>
          <w:p w14:paraId="6709DC03" w14:textId="77777777" w:rsidR="00326425" w:rsidRPr="000B37EF" w:rsidRDefault="00326425" w:rsidP="003A7062">
            <w:pPr>
              <w:spacing w:after="0" w:line="240" w:lineRule="auto"/>
              <w:jc w:val="center"/>
              <w:rPr>
                <w:rFonts w:ascii="Times New Roman" w:hAnsi="Times New Roman"/>
                <w:sz w:val="24"/>
                <w:szCs w:val="24"/>
                <w:lang w:eastAsia="sk-SK"/>
              </w:rPr>
            </w:pPr>
            <w:r w:rsidRPr="000B37EF">
              <w:rPr>
                <w:rFonts w:ascii="Times New Roman" w:hAnsi="Times New Roman"/>
                <w:sz w:val="24"/>
                <w:szCs w:val="24"/>
                <w:lang w:eastAsia="sk-SK"/>
              </w:rPr>
              <w:lastRenderedPageBreak/>
              <w:t>30236/2020-4110</w:t>
            </w:r>
            <w:r w:rsidRPr="000B37EF">
              <w:rPr>
                <w:rFonts w:ascii="Times New Roman" w:hAnsi="Times New Roman"/>
                <w:sz w:val="24"/>
                <w:szCs w:val="24"/>
                <w:lang w:eastAsia="sk-SK"/>
              </w:rPr>
              <w:br/>
              <w:t>17. 09. 2020</w:t>
            </w:r>
          </w:p>
        </w:tc>
        <w:tc>
          <w:tcPr>
            <w:tcW w:w="770" w:type="pct"/>
            <w:tcBorders>
              <w:top w:val="single" w:sz="8" w:space="0" w:color="auto"/>
              <w:left w:val="nil"/>
              <w:bottom w:val="single" w:sz="8" w:space="0" w:color="auto"/>
              <w:right w:val="single" w:sz="8" w:space="0" w:color="auto"/>
            </w:tcBorders>
            <w:shd w:val="clear" w:color="auto" w:fill="auto"/>
            <w:vAlign w:val="center"/>
          </w:tcPr>
          <w:p w14:paraId="004A4C7D" w14:textId="77777777" w:rsidR="00326425" w:rsidRPr="000B37EF" w:rsidRDefault="00326425" w:rsidP="003A7062">
            <w:pPr>
              <w:jc w:val="center"/>
              <w:rPr>
                <w:rFonts w:ascii="Times New Roman" w:hAnsi="Times New Roman"/>
                <w:sz w:val="24"/>
                <w:szCs w:val="24"/>
              </w:rPr>
            </w:pPr>
            <w:r w:rsidRPr="000B37EF">
              <w:rPr>
                <w:rFonts w:ascii="Times New Roman" w:hAnsi="Times New Roman"/>
                <w:sz w:val="24"/>
                <w:szCs w:val="24"/>
              </w:rPr>
              <w:t>Západoslovenská distribučná, a.s., Čulenova 6, 816 47 Bratislava, IČO 36 361 518</w:t>
            </w:r>
          </w:p>
        </w:tc>
        <w:tc>
          <w:tcPr>
            <w:tcW w:w="1080" w:type="pct"/>
            <w:tcBorders>
              <w:top w:val="single" w:sz="8" w:space="0" w:color="auto"/>
              <w:left w:val="nil"/>
              <w:bottom w:val="single" w:sz="8" w:space="0" w:color="auto"/>
              <w:right w:val="single" w:sz="8" w:space="0" w:color="auto"/>
            </w:tcBorders>
            <w:shd w:val="clear" w:color="auto" w:fill="auto"/>
            <w:vAlign w:val="center"/>
          </w:tcPr>
          <w:p w14:paraId="3D651261" w14:textId="647F3C14" w:rsidR="00326425" w:rsidRPr="000B37EF" w:rsidRDefault="00326425" w:rsidP="0065194D">
            <w:pPr>
              <w:jc w:val="center"/>
              <w:rPr>
                <w:rFonts w:ascii="Times New Roman" w:hAnsi="Times New Roman"/>
                <w:sz w:val="24"/>
                <w:szCs w:val="24"/>
              </w:rPr>
            </w:pPr>
            <w:r>
              <w:rPr>
                <w:rFonts w:ascii="Times New Roman" w:hAnsi="Times New Roman"/>
                <w:sz w:val="24"/>
                <w:szCs w:val="24"/>
              </w:rPr>
              <w:t>Ing. Tomáš Turek, Ph</w:t>
            </w:r>
            <w:r w:rsidRPr="000B37EF">
              <w:rPr>
                <w:rFonts w:ascii="Times New Roman" w:hAnsi="Times New Roman"/>
                <w:sz w:val="24"/>
                <w:szCs w:val="24"/>
              </w:rPr>
              <w:t xml:space="preserve">D., podpredseda predstavenstva Mgr. Vladimír </w:t>
            </w:r>
            <w:proofErr w:type="spellStart"/>
            <w:r w:rsidRPr="000B37EF">
              <w:rPr>
                <w:rFonts w:ascii="Times New Roman" w:hAnsi="Times New Roman"/>
                <w:sz w:val="24"/>
                <w:szCs w:val="24"/>
              </w:rPr>
              <w:t>Cipciar</w:t>
            </w:r>
            <w:proofErr w:type="spellEnd"/>
            <w:r w:rsidRPr="000B37EF">
              <w:rPr>
                <w:rFonts w:ascii="Times New Roman" w:hAnsi="Times New Roman"/>
                <w:sz w:val="24"/>
                <w:szCs w:val="24"/>
              </w:rPr>
              <w:t xml:space="preserve">, člen predstavenstva Ing. Marian Kapec, člen predstavenstva Ing. Martin Mišík, člen </w:t>
            </w:r>
            <w:r w:rsidR="0065194D">
              <w:rPr>
                <w:rFonts w:ascii="Times New Roman" w:hAnsi="Times New Roman"/>
                <w:sz w:val="24"/>
                <w:szCs w:val="24"/>
              </w:rPr>
              <w:br/>
            </w:r>
            <w:r w:rsidRPr="000B37EF">
              <w:rPr>
                <w:rFonts w:ascii="Times New Roman" w:hAnsi="Times New Roman"/>
                <w:sz w:val="24"/>
                <w:szCs w:val="24"/>
              </w:rPr>
              <w:t>pred</w:t>
            </w:r>
            <w:r>
              <w:rPr>
                <w:rFonts w:ascii="Times New Roman" w:hAnsi="Times New Roman"/>
                <w:sz w:val="24"/>
                <w:szCs w:val="24"/>
              </w:rPr>
              <w:t>stavenstva Ing. Miroslav</w:t>
            </w:r>
            <w:r w:rsidR="00D0290B">
              <w:rPr>
                <w:rFonts w:ascii="Times New Roman" w:hAnsi="Times New Roman"/>
                <w:sz w:val="24"/>
                <w:szCs w:val="24"/>
              </w:rPr>
              <w:br/>
            </w:r>
            <w:r>
              <w:rPr>
                <w:rFonts w:ascii="Times New Roman" w:hAnsi="Times New Roman"/>
                <w:sz w:val="24"/>
                <w:szCs w:val="24"/>
              </w:rPr>
              <w:t xml:space="preserve"> Otočka</w:t>
            </w:r>
          </w:p>
        </w:tc>
        <w:tc>
          <w:tcPr>
            <w:tcW w:w="827" w:type="pct"/>
            <w:tcBorders>
              <w:top w:val="single" w:sz="8" w:space="0" w:color="auto"/>
              <w:left w:val="nil"/>
              <w:bottom w:val="single" w:sz="8" w:space="0" w:color="auto"/>
              <w:right w:val="single" w:sz="8" w:space="0" w:color="auto"/>
            </w:tcBorders>
            <w:shd w:val="clear" w:color="auto" w:fill="auto"/>
            <w:vAlign w:val="center"/>
          </w:tcPr>
          <w:p w14:paraId="697EEB34" w14:textId="77777777" w:rsidR="00326425" w:rsidRPr="000B37EF" w:rsidRDefault="00326425" w:rsidP="003A7062">
            <w:pPr>
              <w:jc w:val="center"/>
              <w:rPr>
                <w:rFonts w:ascii="Times New Roman" w:hAnsi="Times New Roman"/>
                <w:sz w:val="24"/>
                <w:szCs w:val="24"/>
              </w:rPr>
            </w:pPr>
            <w:r w:rsidRPr="000B37EF">
              <w:rPr>
                <w:rFonts w:ascii="Times New Roman" w:hAnsi="Times New Roman"/>
                <w:sz w:val="24"/>
                <w:szCs w:val="24"/>
              </w:rPr>
              <w:t xml:space="preserve"> okres Trenčín - bude prechádzať cez katastrálne úz</w:t>
            </w:r>
            <w:r>
              <w:rPr>
                <w:rFonts w:ascii="Times New Roman" w:hAnsi="Times New Roman"/>
                <w:sz w:val="24"/>
                <w:szCs w:val="24"/>
              </w:rPr>
              <w:t xml:space="preserve">emia Zamarovce, Skala, </w:t>
            </w:r>
            <w:proofErr w:type="spellStart"/>
            <w:r>
              <w:rPr>
                <w:rFonts w:ascii="Times New Roman" w:hAnsi="Times New Roman"/>
                <w:sz w:val="24"/>
                <w:szCs w:val="24"/>
              </w:rPr>
              <w:t>Skalská</w:t>
            </w:r>
            <w:proofErr w:type="spellEnd"/>
            <w:r>
              <w:rPr>
                <w:rFonts w:ascii="Times New Roman" w:hAnsi="Times New Roman"/>
                <w:sz w:val="24"/>
                <w:szCs w:val="24"/>
              </w:rPr>
              <w:t xml:space="preserve"> Nová Ves, </w:t>
            </w:r>
            <w:proofErr w:type="spellStart"/>
            <w:r>
              <w:rPr>
                <w:rFonts w:ascii="Times New Roman" w:hAnsi="Times New Roman"/>
                <w:sz w:val="24"/>
                <w:szCs w:val="24"/>
              </w:rPr>
              <w:t>Újazd</w:t>
            </w:r>
            <w:proofErr w:type="spellEnd"/>
            <w:r>
              <w:rPr>
                <w:rFonts w:ascii="Times New Roman" w:hAnsi="Times New Roman"/>
                <w:sz w:val="24"/>
                <w:szCs w:val="24"/>
              </w:rPr>
              <w:t>, Kľú</w:t>
            </w:r>
            <w:r w:rsidRPr="000B37EF">
              <w:rPr>
                <w:rFonts w:ascii="Times New Roman" w:hAnsi="Times New Roman"/>
                <w:sz w:val="24"/>
                <w:szCs w:val="24"/>
              </w:rPr>
              <w:t xml:space="preserve">čové, </w:t>
            </w:r>
            <w:proofErr w:type="spellStart"/>
            <w:r w:rsidRPr="000B37EF">
              <w:rPr>
                <w:rFonts w:ascii="Times New Roman" w:hAnsi="Times New Roman"/>
                <w:sz w:val="24"/>
                <w:szCs w:val="24"/>
              </w:rPr>
              <w:t>Ľuborča</w:t>
            </w:r>
            <w:proofErr w:type="spellEnd"/>
            <w:r w:rsidRPr="000B37EF">
              <w:rPr>
                <w:rFonts w:ascii="Times New Roman" w:hAnsi="Times New Roman"/>
                <w:sz w:val="24"/>
                <w:szCs w:val="24"/>
              </w:rPr>
              <w:t xml:space="preserve"> a Nemšová</w:t>
            </w:r>
          </w:p>
        </w:tc>
        <w:tc>
          <w:tcPr>
            <w:tcW w:w="1075" w:type="pct"/>
            <w:tcBorders>
              <w:top w:val="single" w:sz="8" w:space="0" w:color="auto"/>
              <w:left w:val="nil"/>
              <w:bottom w:val="single" w:sz="8" w:space="0" w:color="auto"/>
              <w:right w:val="single" w:sz="8" w:space="0" w:color="auto"/>
            </w:tcBorders>
            <w:shd w:val="clear" w:color="auto" w:fill="auto"/>
            <w:vAlign w:val="center"/>
          </w:tcPr>
          <w:p w14:paraId="45121B8F" w14:textId="77777777" w:rsidR="00326425" w:rsidRPr="000B37EF" w:rsidRDefault="00326425" w:rsidP="003A7062">
            <w:pPr>
              <w:jc w:val="center"/>
              <w:rPr>
                <w:rFonts w:ascii="Times New Roman" w:hAnsi="Times New Roman"/>
                <w:sz w:val="24"/>
                <w:szCs w:val="24"/>
              </w:rPr>
            </w:pPr>
            <w:r>
              <w:rPr>
                <w:rFonts w:ascii="Times New Roman" w:hAnsi="Times New Roman"/>
                <w:sz w:val="24"/>
                <w:szCs w:val="24"/>
              </w:rPr>
              <w:t>r</w:t>
            </w:r>
            <w:r w:rsidRPr="000B37EF">
              <w:rPr>
                <w:rFonts w:ascii="Times New Roman" w:hAnsi="Times New Roman"/>
                <w:sz w:val="24"/>
                <w:szCs w:val="24"/>
              </w:rPr>
              <w:t xml:space="preserve">ekonštrukcia vedenia 1 x 110 </w:t>
            </w:r>
            <w:proofErr w:type="spellStart"/>
            <w:r w:rsidRPr="000B37EF">
              <w:rPr>
                <w:rFonts w:ascii="Times New Roman" w:hAnsi="Times New Roman"/>
                <w:sz w:val="24"/>
                <w:szCs w:val="24"/>
              </w:rPr>
              <w:t>kV</w:t>
            </w:r>
            <w:proofErr w:type="spellEnd"/>
            <w:r w:rsidRPr="000B37EF">
              <w:rPr>
                <w:rFonts w:ascii="Times New Roman" w:hAnsi="Times New Roman"/>
                <w:sz w:val="24"/>
                <w:szCs w:val="24"/>
              </w:rPr>
              <w:t xml:space="preserve"> V8706</w:t>
            </w:r>
          </w:p>
        </w:tc>
        <w:tc>
          <w:tcPr>
            <w:tcW w:w="308" w:type="pct"/>
            <w:tcBorders>
              <w:top w:val="single" w:sz="8" w:space="0" w:color="auto"/>
              <w:left w:val="nil"/>
              <w:bottom w:val="single" w:sz="8" w:space="0" w:color="auto"/>
              <w:right w:val="single" w:sz="8" w:space="0" w:color="auto"/>
            </w:tcBorders>
            <w:shd w:val="clear" w:color="auto" w:fill="auto"/>
            <w:noWrap/>
            <w:vAlign w:val="center"/>
          </w:tcPr>
          <w:p w14:paraId="62B8057A" w14:textId="77777777" w:rsidR="00326425" w:rsidRPr="000B37EF" w:rsidRDefault="00326425" w:rsidP="003A7062">
            <w:pPr>
              <w:spacing w:after="0" w:line="240" w:lineRule="auto"/>
              <w:jc w:val="center"/>
              <w:rPr>
                <w:rFonts w:ascii="Times New Roman" w:eastAsia="Times New Roman" w:hAnsi="Times New Roman"/>
                <w:sz w:val="24"/>
                <w:szCs w:val="24"/>
                <w:lang w:eastAsia="sk-SK"/>
              </w:rPr>
            </w:pPr>
            <w:r w:rsidRPr="000B37EF">
              <w:rPr>
                <w:rFonts w:ascii="Times New Roman" w:eastAsia="Times New Roman" w:hAnsi="Times New Roman"/>
                <w:sz w:val="24"/>
                <w:szCs w:val="24"/>
                <w:lang w:eastAsia="sk-SK"/>
              </w:rPr>
              <w:t> </w:t>
            </w:r>
          </w:p>
        </w:tc>
        <w:tc>
          <w:tcPr>
            <w:tcW w:w="420" w:type="pct"/>
            <w:tcBorders>
              <w:top w:val="single" w:sz="8" w:space="0" w:color="auto"/>
              <w:left w:val="nil"/>
              <w:bottom w:val="single" w:sz="8" w:space="0" w:color="auto"/>
              <w:right w:val="single" w:sz="8" w:space="0" w:color="auto"/>
            </w:tcBorders>
            <w:shd w:val="clear" w:color="auto" w:fill="auto"/>
            <w:noWrap/>
            <w:vAlign w:val="center"/>
          </w:tcPr>
          <w:p w14:paraId="48B712EE" w14:textId="00E3B68E" w:rsidR="00326425" w:rsidRPr="000B37EF" w:rsidRDefault="00326425" w:rsidP="003A7062">
            <w:pPr>
              <w:spacing w:after="0" w:line="240" w:lineRule="auto"/>
              <w:jc w:val="center"/>
              <w:rPr>
                <w:rFonts w:ascii="Times New Roman" w:eastAsia="Times New Roman" w:hAnsi="Times New Roman"/>
                <w:sz w:val="24"/>
                <w:szCs w:val="24"/>
                <w:lang w:eastAsia="sk-SK"/>
              </w:rPr>
            </w:pPr>
            <w:r w:rsidRPr="000B37EF">
              <w:rPr>
                <w:rFonts w:ascii="Times New Roman" w:eastAsia="Times New Roman" w:hAnsi="Times New Roman"/>
                <w:sz w:val="24"/>
                <w:szCs w:val="24"/>
                <w:lang w:eastAsia="sk-SK"/>
              </w:rPr>
              <w:t> </w:t>
            </w:r>
            <w:r w:rsidR="0065194D">
              <w:rPr>
                <w:rFonts w:ascii="Times New Roman" w:eastAsia="Times New Roman" w:hAnsi="Times New Roman"/>
                <w:sz w:val="24"/>
                <w:szCs w:val="24"/>
                <w:lang w:eastAsia="sk-SK"/>
              </w:rPr>
              <w:br/>
            </w:r>
            <w:r w:rsidR="0065194D">
              <w:rPr>
                <w:rFonts w:ascii="Times New Roman" w:eastAsia="Times New Roman" w:hAnsi="Times New Roman"/>
                <w:sz w:val="24"/>
                <w:szCs w:val="24"/>
                <w:lang w:eastAsia="sk-SK"/>
              </w:rPr>
              <w:br/>
            </w:r>
            <w:r w:rsidR="0065194D">
              <w:rPr>
                <w:rFonts w:ascii="Times New Roman" w:eastAsia="Times New Roman" w:hAnsi="Times New Roman"/>
                <w:sz w:val="24"/>
                <w:szCs w:val="24"/>
                <w:lang w:eastAsia="sk-SK"/>
              </w:rPr>
              <w:br/>
            </w:r>
            <w:r w:rsidR="0065194D">
              <w:rPr>
                <w:rFonts w:ascii="Times New Roman" w:eastAsia="Times New Roman" w:hAnsi="Times New Roman"/>
                <w:sz w:val="24"/>
                <w:szCs w:val="24"/>
                <w:lang w:eastAsia="sk-SK"/>
              </w:rPr>
              <w:br/>
            </w:r>
            <w:r w:rsidR="0065194D">
              <w:rPr>
                <w:rFonts w:ascii="Times New Roman" w:eastAsia="Times New Roman" w:hAnsi="Times New Roman"/>
                <w:sz w:val="24"/>
                <w:szCs w:val="24"/>
                <w:lang w:eastAsia="sk-SK"/>
              </w:rPr>
              <w:br/>
            </w:r>
            <w:r w:rsidR="0065194D">
              <w:rPr>
                <w:rFonts w:ascii="Times New Roman" w:eastAsia="Times New Roman" w:hAnsi="Times New Roman"/>
                <w:sz w:val="24"/>
                <w:szCs w:val="24"/>
                <w:lang w:eastAsia="sk-SK"/>
              </w:rPr>
              <w:br/>
            </w:r>
            <w:r w:rsidR="0065194D">
              <w:rPr>
                <w:rFonts w:ascii="Times New Roman" w:eastAsia="Times New Roman" w:hAnsi="Times New Roman"/>
                <w:sz w:val="24"/>
                <w:szCs w:val="24"/>
                <w:lang w:eastAsia="sk-SK"/>
              </w:rPr>
              <w:br/>
            </w:r>
            <w:r w:rsidR="0065194D">
              <w:rPr>
                <w:rFonts w:ascii="Times New Roman" w:eastAsia="Times New Roman" w:hAnsi="Times New Roman"/>
                <w:sz w:val="24"/>
                <w:szCs w:val="24"/>
                <w:lang w:eastAsia="sk-SK"/>
              </w:rPr>
              <w:br/>
            </w:r>
          </w:p>
        </w:tc>
      </w:tr>
      <w:tr w:rsidR="00326425" w:rsidRPr="000B37EF" w14:paraId="2D01E8A4" w14:textId="77777777" w:rsidTr="00132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948"/>
        </w:trPr>
        <w:tc>
          <w:tcPr>
            <w:tcW w:w="520" w:type="pct"/>
            <w:tcBorders>
              <w:top w:val="single" w:sz="8" w:space="0" w:color="auto"/>
              <w:left w:val="single" w:sz="8" w:space="0" w:color="auto"/>
              <w:bottom w:val="single" w:sz="8" w:space="0" w:color="auto"/>
              <w:right w:val="single" w:sz="8" w:space="0" w:color="auto"/>
            </w:tcBorders>
            <w:shd w:val="clear" w:color="auto" w:fill="auto"/>
            <w:vAlign w:val="center"/>
          </w:tcPr>
          <w:p w14:paraId="5C351EB4" w14:textId="77777777" w:rsidR="00326425" w:rsidRPr="000B37EF" w:rsidRDefault="00326425" w:rsidP="003A7062">
            <w:pPr>
              <w:spacing w:after="0" w:line="240" w:lineRule="auto"/>
              <w:jc w:val="center"/>
              <w:rPr>
                <w:rFonts w:ascii="Times New Roman" w:hAnsi="Times New Roman"/>
                <w:sz w:val="24"/>
                <w:szCs w:val="24"/>
                <w:lang w:eastAsia="sk-SK"/>
              </w:rPr>
            </w:pPr>
            <w:r w:rsidRPr="000B37EF">
              <w:rPr>
                <w:rFonts w:ascii="Times New Roman" w:hAnsi="Times New Roman"/>
                <w:sz w:val="24"/>
                <w:szCs w:val="24"/>
                <w:lang w:eastAsia="sk-SK"/>
              </w:rPr>
              <w:t>30237/2020-4110</w:t>
            </w:r>
            <w:r w:rsidRPr="000B37EF">
              <w:rPr>
                <w:rFonts w:ascii="Times New Roman" w:hAnsi="Times New Roman"/>
                <w:sz w:val="24"/>
                <w:szCs w:val="24"/>
                <w:lang w:eastAsia="sk-SK"/>
              </w:rPr>
              <w:br/>
              <w:t>17. 09. 2020</w:t>
            </w:r>
          </w:p>
        </w:tc>
        <w:tc>
          <w:tcPr>
            <w:tcW w:w="770" w:type="pct"/>
            <w:tcBorders>
              <w:top w:val="single" w:sz="8" w:space="0" w:color="auto"/>
              <w:left w:val="nil"/>
              <w:bottom w:val="single" w:sz="8" w:space="0" w:color="auto"/>
              <w:right w:val="single" w:sz="8" w:space="0" w:color="auto"/>
            </w:tcBorders>
            <w:shd w:val="clear" w:color="auto" w:fill="auto"/>
            <w:vAlign w:val="center"/>
          </w:tcPr>
          <w:p w14:paraId="7CE7D95F" w14:textId="77777777" w:rsidR="00326425" w:rsidRPr="000B37EF" w:rsidRDefault="00326425" w:rsidP="003A7062">
            <w:pPr>
              <w:jc w:val="center"/>
              <w:rPr>
                <w:rFonts w:ascii="Times New Roman" w:hAnsi="Times New Roman"/>
                <w:sz w:val="24"/>
                <w:szCs w:val="24"/>
              </w:rPr>
            </w:pPr>
            <w:r w:rsidRPr="000B37EF">
              <w:rPr>
                <w:rFonts w:ascii="Times New Roman" w:hAnsi="Times New Roman"/>
                <w:sz w:val="24"/>
                <w:szCs w:val="24"/>
              </w:rPr>
              <w:t>Západoslovenská distribučná, a.s., Čulenova 6, 816 47 Bratislava, IČO 36 361 518</w:t>
            </w:r>
          </w:p>
        </w:tc>
        <w:tc>
          <w:tcPr>
            <w:tcW w:w="1080" w:type="pct"/>
            <w:tcBorders>
              <w:top w:val="single" w:sz="8" w:space="0" w:color="auto"/>
              <w:left w:val="nil"/>
              <w:bottom w:val="single" w:sz="8" w:space="0" w:color="auto"/>
              <w:right w:val="single" w:sz="8" w:space="0" w:color="auto"/>
            </w:tcBorders>
            <w:shd w:val="clear" w:color="auto" w:fill="auto"/>
            <w:vAlign w:val="center"/>
          </w:tcPr>
          <w:p w14:paraId="658B069F" w14:textId="77777777" w:rsidR="00326425" w:rsidRPr="000B37EF" w:rsidRDefault="00326425" w:rsidP="003A7062">
            <w:pPr>
              <w:jc w:val="center"/>
              <w:rPr>
                <w:rFonts w:ascii="Times New Roman" w:hAnsi="Times New Roman"/>
                <w:sz w:val="24"/>
                <w:szCs w:val="24"/>
              </w:rPr>
            </w:pPr>
            <w:r>
              <w:rPr>
                <w:rFonts w:ascii="Times New Roman" w:hAnsi="Times New Roman"/>
                <w:sz w:val="24"/>
                <w:szCs w:val="24"/>
              </w:rPr>
              <w:t>Ing. Tomáš Turek, Ph</w:t>
            </w:r>
            <w:r w:rsidRPr="000B37EF">
              <w:rPr>
                <w:rFonts w:ascii="Times New Roman" w:hAnsi="Times New Roman"/>
                <w:sz w:val="24"/>
                <w:szCs w:val="24"/>
              </w:rPr>
              <w:t xml:space="preserve">D., podpredseda predstavenstva Mgr. Vladimír </w:t>
            </w:r>
            <w:proofErr w:type="spellStart"/>
            <w:r w:rsidRPr="000B37EF">
              <w:rPr>
                <w:rFonts w:ascii="Times New Roman" w:hAnsi="Times New Roman"/>
                <w:sz w:val="24"/>
                <w:szCs w:val="24"/>
              </w:rPr>
              <w:t>Cipciar</w:t>
            </w:r>
            <w:proofErr w:type="spellEnd"/>
            <w:r w:rsidRPr="000B37EF">
              <w:rPr>
                <w:rFonts w:ascii="Times New Roman" w:hAnsi="Times New Roman"/>
                <w:sz w:val="24"/>
                <w:szCs w:val="24"/>
              </w:rPr>
              <w:t>, člen predstavenstva Ing. Marian Kapec, člen predstavenstva Ing. Martin Mišík, člen predstavenstva Ing</w:t>
            </w:r>
            <w:r>
              <w:rPr>
                <w:rFonts w:ascii="Times New Roman" w:hAnsi="Times New Roman"/>
                <w:sz w:val="24"/>
                <w:szCs w:val="24"/>
              </w:rPr>
              <w:t>. Miroslav Otočka</w:t>
            </w:r>
          </w:p>
        </w:tc>
        <w:tc>
          <w:tcPr>
            <w:tcW w:w="827" w:type="pct"/>
            <w:tcBorders>
              <w:top w:val="single" w:sz="8" w:space="0" w:color="auto"/>
              <w:left w:val="nil"/>
              <w:bottom w:val="single" w:sz="8" w:space="0" w:color="auto"/>
              <w:right w:val="single" w:sz="8" w:space="0" w:color="auto"/>
            </w:tcBorders>
            <w:shd w:val="clear" w:color="auto" w:fill="auto"/>
            <w:vAlign w:val="center"/>
          </w:tcPr>
          <w:p w14:paraId="2189FE5F" w14:textId="77777777" w:rsidR="00326425" w:rsidRPr="000B37EF" w:rsidRDefault="00326425" w:rsidP="003A7062">
            <w:pPr>
              <w:jc w:val="center"/>
              <w:rPr>
                <w:rFonts w:ascii="Times New Roman" w:hAnsi="Times New Roman"/>
                <w:sz w:val="24"/>
                <w:szCs w:val="24"/>
              </w:rPr>
            </w:pPr>
            <w:r w:rsidRPr="000B37EF">
              <w:rPr>
                <w:rFonts w:ascii="Times New Roman" w:hAnsi="Times New Roman"/>
                <w:sz w:val="24"/>
                <w:szCs w:val="24"/>
              </w:rPr>
              <w:t>okres Trenčín - bude prechádzať cez katast</w:t>
            </w:r>
            <w:r>
              <w:rPr>
                <w:rFonts w:ascii="Times New Roman" w:hAnsi="Times New Roman"/>
                <w:sz w:val="24"/>
                <w:szCs w:val="24"/>
              </w:rPr>
              <w:t xml:space="preserve">rálne územia Opatovce, </w:t>
            </w:r>
            <w:proofErr w:type="spellStart"/>
            <w:r>
              <w:rPr>
                <w:rFonts w:ascii="Times New Roman" w:hAnsi="Times New Roman"/>
                <w:sz w:val="24"/>
                <w:szCs w:val="24"/>
              </w:rPr>
              <w:t>Kostolná-</w:t>
            </w:r>
            <w:r w:rsidRPr="000B37EF">
              <w:rPr>
                <w:rFonts w:ascii="Times New Roman" w:hAnsi="Times New Roman"/>
                <w:sz w:val="24"/>
                <w:szCs w:val="24"/>
              </w:rPr>
              <w:t>Zárečie</w:t>
            </w:r>
            <w:proofErr w:type="spellEnd"/>
            <w:r w:rsidRPr="000B37EF">
              <w:rPr>
                <w:rFonts w:ascii="Times New Roman" w:hAnsi="Times New Roman"/>
                <w:sz w:val="24"/>
                <w:szCs w:val="24"/>
              </w:rPr>
              <w:t>, Záblatie, Drietom</w:t>
            </w:r>
            <w:r>
              <w:rPr>
                <w:rFonts w:ascii="Times New Roman" w:hAnsi="Times New Roman"/>
                <w:sz w:val="24"/>
                <w:szCs w:val="24"/>
              </w:rPr>
              <w:t xml:space="preserve">a, </w:t>
            </w:r>
            <w:proofErr w:type="spellStart"/>
            <w:r>
              <w:rPr>
                <w:rFonts w:ascii="Times New Roman" w:hAnsi="Times New Roman"/>
                <w:sz w:val="24"/>
                <w:szCs w:val="24"/>
              </w:rPr>
              <w:t>Hanzlíková</w:t>
            </w:r>
            <w:proofErr w:type="spellEnd"/>
            <w:r>
              <w:rPr>
                <w:rFonts w:ascii="Times New Roman" w:hAnsi="Times New Roman"/>
                <w:sz w:val="24"/>
                <w:szCs w:val="24"/>
              </w:rPr>
              <w:t xml:space="preserve">, </w:t>
            </w:r>
            <w:proofErr w:type="spellStart"/>
            <w:r>
              <w:rPr>
                <w:rFonts w:ascii="Times New Roman" w:hAnsi="Times New Roman"/>
                <w:sz w:val="24"/>
                <w:szCs w:val="24"/>
              </w:rPr>
              <w:t>Zlatovce</w:t>
            </w:r>
            <w:proofErr w:type="spellEnd"/>
            <w:r>
              <w:rPr>
                <w:rFonts w:ascii="Times New Roman" w:hAnsi="Times New Roman"/>
                <w:sz w:val="24"/>
                <w:szCs w:val="24"/>
              </w:rPr>
              <w:t xml:space="preserve">, </w:t>
            </w:r>
            <w:proofErr w:type="spellStart"/>
            <w:r>
              <w:rPr>
                <w:rFonts w:ascii="Times New Roman" w:hAnsi="Times New Roman"/>
                <w:sz w:val="24"/>
                <w:szCs w:val="24"/>
              </w:rPr>
              <w:t>Istební</w:t>
            </w:r>
            <w:r w:rsidRPr="000B37EF">
              <w:rPr>
                <w:rFonts w:ascii="Times New Roman" w:hAnsi="Times New Roman"/>
                <w:sz w:val="24"/>
                <w:szCs w:val="24"/>
              </w:rPr>
              <w:t>k</w:t>
            </w:r>
            <w:proofErr w:type="spellEnd"/>
            <w:r w:rsidRPr="000B37EF">
              <w:rPr>
                <w:rFonts w:ascii="Times New Roman" w:hAnsi="Times New Roman"/>
                <w:sz w:val="24"/>
                <w:szCs w:val="24"/>
              </w:rPr>
              <w:t>, Orechové, Zamarovce</w:t>
            </w:r>
          </w:p>
        </w:tc>
        <w:tc>
          <w:tcPr>
            <w:tcW w:w="1075" w:type="pct"/>
            <w:tcBorders>
              <w:top w:val="single" w:sz="8" w:space="0" w:color="auto"/>
              <w:left w:val="nil"/>
              <w:bottom w:val="single" w:sz="8" w:space="0" w:color="auto"/>
              <w:right w:val="single" w:sz="8" w:space="0" w:color="auto"/>
            </w:tcBorders>
            <w:shd w:val="clear" w:color="auto" w:fill="auto"/>
            <w:vAlign w:val="center"/>
          </w:tcPr>
          <w:p w14:paraId="45F0389C" w14:textId="77777777" w:rsidR="00326425" w:rsidRPr="000B37EF" w:rsidRDefault="00326425" w:rsidP="003A7062">
            <w:pPr>
              <w:jc w:val="center"/>
              <w:rPr>
                <w:rFonts w:ascii="Times New Roman" w:hAnsi="Times New Roman"/>
                <w:sz w:val="24"/>
                <w:szCs w:val="24"/>
              </w:rPr>
            </w:pPr>
            <w:r>
              <w:rPr>
                <w:rFonts w:ascii="Times New Roman" w:hAnsi="Times New Roman"/>
                <w:sz w:val="24"/>
                <w:szCs w:val="24"/>
              </w:rPr>
              <w:t>r</w:t>
            </w:r>
            <w:r w:rsidRPr="000B37EF">
              <w:rPr>
                <w:rFonts w:ascii="Times New Roman" w:hAnsi="Times New Roman"/>
                <w:sz w:val="24"/>
                <w:szCs w:val="24"/>
              </w:rPr>
              <w:t xml:space="preserve">ekonštrukcia vedenia 1 x 110 </w:t>
            </w:r>
            <w:proofErr w:type="spellStart"/>
            <w:r w:rsidRPr="000B37EF">
              <w:rPr>
                <w:rFonts w:ascii="Times New Roman" w:hAnsi="Times New Roman"/>
                <w:sz w:val="24"/>
                <w:szCs w:val="24"/>
              </w:rPr>
              <w:t>kV</w:t>
            </w:r>
            <w:proofErr w:type="spellEnd"/>
            <w:r w:rsidRPr="000B37EF">
              <w:rPr>
                <w:rFonts w:ascii="Times New Roman" w:hAnsi="Times New Roman"/>
                <w:sz w:val="24"/>
                <w:szCs w:val="24"/>
              </w:rPr>
              <w:t xml:space="preserve"> V8707</w:t>
            </w:r>
          </w:p>
        </w:tc>
        <w:tc>
          <w:tcPr>
            <w:tcW w:w="308" w:type="pct"/>
            <w:tcBorders>
              <w:top w:val="single" w:sz="8" w:space="0" w:color="auto"/>
              <w:left w:val="nil"/>
              <w:bottom w:val="single" w:sz="8" w:space="0" w:color="auto"/>
              <w:right w:val="single" w:sz="8" w:space="0" w:color="auto"/>
            </w:tcBorders>
            <w:shd w:val="clear" w:color="auto" w:fill="auto"/>
            <w:noWrap/>
            <w:vAlign w:val="center"/>
          </w:tcPr>
          <w:p w14:paraId="2BB8980F" w14:textId="77777777" w:rsidR="00326425" w:rsidRPr="000B37EF" w:rsidRDefault="00326425" w:rsidP="003A7062">
            <w:pPr>
              <w:spacing w:after="0" w:line="240" w:lineRule="auto"/>
              <w:jc w:val="center"/>
              <w:rPr>
                <w:rFonts w:ascii="Times New Roman" w:eastAsia="Times New Roman" w:hAnsi="Times New Roman"/>
                <w:sz w:val="24"/>
                <w:szCs w:val="24"/>
                <w:lang w:eastAsia="sk-SK"/>
              </w:rPr>
            </w:pPr>
            <w:r w:rsidRPr="000B37EF">
              <w:rPr>
                <w:rFonts w:ascii="Times New Roman" w:eastAsia="Times New Roman" w:hAnsi="Times New Roman"/>
                <w:sz w:val="24"/>
                <w:szCs w:val="24"/>
                <w:lang w:eastAsia="sk-SK"/>
              </w:rPr>
              <w:t> </w:t>
            </w:r>
          </w:p>
        </w:tc>
        <w:tc>
          <w:tcPr>
            <w:tcW w:w="420" w:type="pct"/>
            <w:tcBorders>
              <w:top w:val="single" w:sz="8" w:space="0" w:color="auto"/>
              <w:left w:val="nil"/>
              <w:bottom w:val="single" w:sz="8" w:space="0" w:color="auto"/>
              <w:right w:val="single" w:sz="8" w:space="0" w:color="auto"/>
            </w:tcBorders>
            <w:shd w:val="clear" w:color="auto" w:fill="auto"/>
            <w:noWrap/>
            <w:vAlign w:val="center"/>
          </w:tcPr>
          <w:p w14:paraId="63AE33B1" w14:textId="77777777" w:rsidR="00326425" w:rsidRPr="000B37EF" w:rsidRDefault="00326425" w:rsidP="003A7062">
            <w:pPr>
              <w:spacing w:after="0" w:line="240" w:lineRule="auto"/>
              <w:jc w:val="center"/>
              <w:rPr>
                <w:rFonts w:ascii="Times New Roman" w:eastAsia="Times New Roman" w:hAnsi="Times New Roman"/>
                <w:sz w:val="24"/>
                <w:szCs w:val="24"/>
                <w:lang w:eastAsia="sk-SK"/>
              </w:rPr>
            </w:pPr>
            <w:r w:rsidRPr="000B37EF">
              <w:rPr>
                <w:rFonts w:ascii="Times New Roman" w:eastAsia="Times New Roman" w:hAnsi="Times New Roman"/>
                <w:sz w:val="24"/>
                <w:szCs w:val="24"/>
                <w:lang w:eastAsia="sk-SK"/>
              </w:rPr>
              <w:t> </w:t>
            </w:r>
          </w:p>
        </w:tc>
      </w:tr>
      <w:tr w:rsidR="00326425" w:rsidRPr="000B37EF" w14:paraId="76097605" w14:textId="77777777" w:rsidTr="00132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381"/>
        </w:trPr>
        <w:tc>
          <w:tcPr>
            <w:tcW w:w="520" w:type="pct"/>
            <w:tcBorders>
              <w:top w:val="single" w:sz="8" w:space="0" w:color="auto"/>
              <w:left w:val="single" w:sz="8" w:space="0" w:color="auto"/>
              <w:bottom w:val="single" w:sz="8" w:space="0" w:color="auto"/>
              <w:right w:val="single" w:sz="8" w:space="0" w:color="auto"/>
            </w:tcBorders>
            <w:shd w:val="clear" w:color="auto" w:fill="auto"/>
            <w:vAlign w:val="center"/>
          </w:tcPr>
          <w:p w14:paraId="3D469F2A" w14:textId="77777777" w:rsidR="00326425" w:rsidRPr="000B37EF" w:rsidRDefault="00326425" w:rsidP="003A7062">
            <w:pPr>
              <w:spacing w:after="0" w:line="240" w:lineRule="auto"/>
              <w:jc w:val="center"/>
              <w:rPr>
                <w:rFonts w:ascii="Times New Roman" w:hAnsi="Times New Roman"/>
                <w:sz w:val="24"/>
                <w:szCs w:val="24"/>
                <w:lang w:eastAsia="sk-SK"/>
              </w:rPr>
            </w:pPr>
            <w:r w:rsidRPr="000B37EF">
              <w:rPr>
                <w:rFonts w:ascii="Times New Roman" w:hAnsi="Times New Roman"/>
                <w:sz w:val="24"/>
                <w:szCs w:val="24"/>
                <w:lang w:eastAsia="sk-SK"/>
              </w:rPr>
              <w:t>25142/2020-4110</w:t>
            </w:r>
            <w:r w:rsidRPr="000B37EF">
              <w:rPr>
                <w:rFonts w:ascii="Times New Roman" w:hAnsi="Times New Roman"/>
                <w:sz w:val="24"/>
                <w:szCs w:val="24"/>
                <w:lang w:eastAsia="sk-SK"/>
              </w:rPr>
              <w:br/>
              <w:t>21. 10. 2020</w:t>
            </w:r>
          </w:p>
        </w:tc>
        <w:tc>
          <w:tcPr>
            <w:tcW w:w="770" w:type="pct"/>
            <w:tcBorders>
              <w:top w:val="single" w:sz="8" w:space="0" w:color="auto"/>
              <w:left w:val="nil"/>
              <w:bottom w:val="single" w:sz="8" w:space="0" w:color="auto"/>
              <w:right w:val="single" w:sz="8" w:space="0" w:color="auto"/>
            </w:tcBorders>
            <w:shd w:val="clear" w:color="auto" w:fill="auto"/>
            <w:vAlign w:val="center"/>
          </w:tcPr>
          <w:p w14:paraId="5954E1F4" w14:textId="77777777" w:rsidR="00326425" w:rsidRPr="000B37EF" w:rsidRDefault="00326425" w:rsidP="003A7062">
            <w:pPr>
              <w:jc w:val="center"/>
              <w:rPr>
                <w:rFonts w:ascii="Times New Roman" w:hAnsi="Times New Roman"/>
                <w:sz w:val="24"/>
                <w:szCs w:val="24"/>
              </w:rPr>
            </w:pPr>
            <w:r w:rsidRPr="000B37EF">
              <w:rPr>
                <w:rFonts w:ascii="Times New Roman" w:hAnsi="Times New Roman"/>
                <w:sz w:val="24"/>
                <w:szCs w:val="24"/>
              </w:rPr>
              <w:t>Slovenské elektrárne, a. s., Mlynské nivy 47, 821 09 Bratislava 2, IČO 35 829 052</w:t>
            </w:r>
          </w:p>
        </w:tc>
        <w:tc>
          <w:tcPr>
            <w:tcW w:w="1080" w:type="pct"/>
            <w:tcBorders>
              <w:top w:val="single" w:sz="8" w:space="0" w:color="auto"/>
              <w:left w:val="nil"/>
              <w:bottom w:val="single" w:sz="8" w:space="0" w:color="auto"/>
              <w:right w:val="single" w:sz="8" w:space="0" w:color="auto"/>
            </w:tcBorders>
            <w:shd w:val="clear" w:color="auto" w:fill="auto"/>
            <w:vAlign w:val="center"/>
          </w:tcPr>
          <w:p w14:paraId="286D235C" w14:textId="77777777" w:rsidR="00326425" w:rsidRPr="000B37EF" w:rsidRDefault="00326425" w:rsidP="003A7062">
            <w:pPr>
              <w:jc w:val="center"/>
              <w:rPr>
                <w:rFonts w:ascii="Times New Roman" w:hAnsi="Times New Roman"/>
                <w:sz w:val="24"/>
                <w:szCs w:val="24"/>
              </w:rPr>
            </w:pPr>
            <w:r w:rsidRPr="000B37EF">
              <w:rPr>
                <w:rFonts w:ascii="Times New Roman" w:hAnsi="Times New Roman"/>
                <w:sz w:val="24"/>
                <w:szCs w:val="24"/>
              </w:rPr>
              <w:t>zastúpená generálnym riaditeľom, členom a predsedom predstavenstva Ing. Branislavom Strýčkom a členom Ing.</w:t>
            </w:r>
            <w:r w:rsidRPr="000B37EF">
              <w:rPr>
                <w:rFonts w:ascii="Times New Roman" w:hAnsi="Times New Roman"/>
                <w:sz w:val="24"/>
                <w:szCs w:val="24"/>
              </w:rPr>
              <w:br/>
              <w:t xml:space="preserve">Jaroslavom </w:t>
            </w:r>
            <w:proofErr w:type="spellStart"/>
            <w:r w:rsidRPr="000B37EF">
              <w:rPr>
                <w:rFonts w:ascii="Times New Roman" w:hAnsi="Times New Roman"/>
                <w:sz w:val="24"/>
                <w:szCs w:val="24"/>
              </w:rPr>
              <w:t>Holubcom</w:t>
            </w:r>
            <w:proofErr w:type="spellEnd"/>
          </w:p>
        </w:tc>
        <w:tc>
          <w:tcPr>
            <w:tcW w:w="827" w:type="pct"/>
            <w:tcBorders>
              <w:top w:val="single" w:sz="8" w:space="0" w:color="auto"/>
              <w:left w:val="nil"/>
              <w:bottom w:val="single" w:sz="8" w:space="0" w:color="auto"/>
              <w:right w:val="single" w:sz="8" w:space="0" w:color="auto"/>
            </w:tcBorders>
            <w:shd w:val="clear" w:color="auto" w:fill="auto"/>
            <w:vAlign w:val="center"/>
          </w:tcPr>
          <w:p w14:paraId="7DF25277" w14:textId="77777777" w:rsidR="00326425" w:rsidRPr="000B37EF" w:rsidRDefault="00326425" w:rsidP="003A7062">
            <w:pPr>
              <w:jc w:val="center"/>
              <w:rPr>
                <w:rFonts w:ascii="Times New Roman" w:hAnsi="Times New Roman"/>
                <w:sz w:val="24"/>
                <w:szCs w:val="24"/>
              </w:rPr>
            </w:pPr>
            <w:r w:rsidRPr="000B37EF">
              <w:rPr>
                <w:rFonts w:ascii="Times New Roman" w:hAnsi="Times New Roman"/>
                <w:sz w:val="24"/>
                <w:szCs w:val="24"/>
              </w:rPr>
              <w:t>závod Elektrárne Nováky, 972 43 Zemianske Kostoľany</w:t>
            </w:r>
          </w:p>
        </w:tc>
        <w:tc>
          <w:tcPr>
            <w:tcW w:w="1075" w:type="pct"/>
            <w:tcBorders>
              <w:top w:val="single" w:sz="8" w:space="0" w:color="auto"/>
              <w:left w:val="nil"/>
              <w:bottom w:val="single" w:sz="8" w:space="0" w:color="auto"/>
              <w:right w:val="single" w:sz="8" w:space="0" w:color="auto"/>
            </w:tcBorders>
            <w:shd w:val="clear" w:color="auto" w:fill="auto"/>
            <w:vAlign w:val="center"/>
          </w:tcPr>
          <w:p w14:paraId="54529B76" w14:textId="77777777" w:rsidR="00326425" w:rsidRPr="000B37EF" w:rsidRDefault="00326425" w:rsidP="003A7062">
            <w:pPr>
              <w:jc w:val="center"/>
              <w:rPr>
                <w:rFonts w:ascii="Times New Roman" w:hAnsi="Times New Roman"/>
                <w:sz w:val="24"/>
                <w:szCs w:val="24"/>
              </w:rPr>
            </w:pPr>
            <w:r>
              <w:rPr>
                <w:rFonts w:ascii="Times New Roman" w:hAnsi="Times New Roman"/>
                <w:sz w:val="24"/>
                <w:szCs w:val="24"/>
              </w:rPr>
              <w:t>n</w:t>
            </w:r>
            <w:r w:rsidRPr="000B37EF">
              <w:rPr>
                <w:rFonts w:ascii="Times New Roman" w:hAnsi="Times New Roman"/>
                <w:sz w:val="24"/>
                <w:szCs w:val="24"/>
              </w:rPr>
              <w:t>ový</w:t>
            </w:r>
            <w:r>
              <w:rPr>
                <w:rFonts w:ascii="Times New Roman" w:hAnsi="Times New Roman"/>
                <w:sz w:val="24"/>
                <w:szCs w:val="24"/>
              </w:rPr>
              <w:t xml:space="preserve"> tepelný zdroj ENO – p</w:t>
            </w:r>
            <w:r w:rsidRPr="000B37EF">
              <w:rPr>
                <w:rFonts w:ascii="Times New Roman" w:hAnsi="Times New Roman"/>
                <w:sz w:val="24"/>
                <w:szCs w:val="24"/>
              </w:rPr>
              <w:t xml:space="preserve">lynofikácia, plynová a </w:t>
            </w:r>
            <w:proofErr w:type="spellStart"/>
            <w:r w:rsidRPr="000B37EF">
              <w:rPr>
                <w:rFonts w:ascii="Times New Roman" w:hAnsi="Times New Roman"/>
                <w:sz w:val="24"/>
                <w:szCs w:val="24"/>
              </w:rPr>
              <w:t>biomasová</w:t>
            </w:r>
            <w:proofErr w:type="spellEnd"/>
            <w:r w:rsidRPr="000B37EF">
              <w:rPr>
                <w:rFonts w:ascii="Times New Roman" w:hAnsi="Times New Roman"/>
                <w:sz w:val="24"/>
                <w:szCs w:val="24"/>
              </w:rPr>
              <w:t xml:space="preserve"> tepláreň</w:t>
            </w:r>
          </w:p>
        </w:tc>
        <w:tc>
          <w:tcPr>
            <w:tcW w:w="308" w:type="pct"/>
            <w:tcBorders>
              <w:top w:val="single" w:sz="8" w:space="0" w:color="auto"/>
              <w:left w:val="nil"/>
              <w:bottom w:val="single" w:sz="8" w:space="0" w:color="auto"/>
              <w:right w:val="single" w:sz="8" w:space="0" w:color="auto"/>
            </w:tcBorders>
            <w:shd w:val="clear" w:color="auto" w:fill="auto"/>
            <w:noWrap/>
            <w:vAlign w:val="center"/>
          </w:tcPr>
          <w:p w14:paraId="0022DDDB" w14:textId="77777777" w:rsidR="00326425" w:rsidRPr="000B37EF" w:rsidRDefault="00326425" w:rsidP="003A7062">
            <w:pPr>
              <w:spacing w:after="0" w:line="240" w:lineRule="auto"/>
              <w:jc w:val="center"/>
              <w:rPr>
                <w:rFonts w:ascii="Times New Roman" w:eastAsia="Times New Roman" w:hAnsi="Times New Roman"/>
                <w:sz w:val="24"/>
                <w:szCs w:val="24"/>
                <w:lang w:eastAsia="sk-SK"/>
              </w:rPr>
            </w:pPr>
            <w:r w:rsidRPr="000B37EF">
              <w:rPr>
                <w:rFonts w:ascii="Times New Roman" w:eastAsia="Times New Roman" w:hAnsi="Times New Roman"/>
                <w:sz w:val="24"/>
                <w:szCs w:val="24"/>
                <w:lang w:eastAsia="sk-SK"/>
              </w:rPr>
              <w:t>71</w:t>
            </w:r>
          </w:p>
        </w:tc>
        <w:tc>
          <w:tcPr>
            <w:tcW w:w="420" w:type="pct"/>
            <w:tcBorders>
              <w:top w:val="single" w:sz="8" w:space="0" w:color="auto"/>
              <w:left w:val="nil"/>
              <w:bottom w:val="single" w:sz="8" w:space="0" w:color="auto"/>
              <w:right w:val="single" w:sz="8" w:space="0" w:color="auto"/>
            </w:tcBorders>
            <w:shd w:val="clear" w:color="auto" w:fill="auto"/>
            <w:noWrap/>
            <w:vAlign w:val="center"/>
          </w:tcPr>
          <w:p w14:paraId="54A5C1D2" w14:textId="77777777" w:rsidR="00326425" w:rsidRPr="000B37EF" w:rsidRDefault="00326425" w:rsidP="003A7062">
            <w:pPr>
              <w:spacing w:after="0" w:line="240" w:lineRule="auto"/>
              <w:jc w:val="center"/>
              <w:rPr>
                <w:rFonts w:ascii="Times New Roman" w:eastAsia="Times New Roman" w:hAnsi="Times New Roman"/>
                <w:sz w:val="24"/>
                <w:szCs w:val="24"/>
                <w:lang w:eastAsia="sk-SK"/>
              </w:rPr>
            </w:pPr>
            <w:r w:rsidRPr="000B37EF">
              <w:rPr>
                <w:rFonts w:ascii="Times New Roman" w:eastAsia="Times New Roman" w:hAnsi="Times New Roman"/>
                <w:sz w:val="24"/>
                <w:szCs w:val="24"/>
                <w:lang w:eastAsia="sk-SK"/>
              </w:rPr>
              <w:t> </w:t>
            </w:r>
          </w:p>
        </w:tc>
      </w:tr>
    </w:tbl>
    <w:p w14:paraId="64019926" w14:textId="18951F49" w:rsidR="00326425" w:rsidRPr="000B37EF" w:rsidRDefault="00D0290B" w:rsidP="00326425">
      <w:pPr>
        <w:spacing w:after="0" w:line="240" w:lineRule="auto"/>
        <w:rPr>
          <w:rFonts w:ascii="Times New Roman" w:eastAsia="Times New Roman" w:hAnsi="Times New Roman"/>
          <w:sz w:val="24"/>
          <w:szCs w:val="24"/>
          <w:lang w:eastAsia="sk-SK"/>
        </w:rPr>
      </w:pPr>
      <w:r w:rsidRPr="00132478">
        <w:rPr>
          <w:rFonts w:ascii="Times New Roman" w:eastAsia="Times New Roman" w:hAnsi="Times New Roman"/>
          <w:sz w:val="16"/>
          <w:szCs w:val="16"/>
          <w:lang w:eastAsia="sk-SK"/>
        </w:rPr>
        <w:br/>
      </w:r>
      <w:r w:rsidR="00326425" w:rsidRPr="000B37EF">
        <w:rPr>
          <w:rFonts w:ascii="Times New Roman" w:eastAsia="Times New Roman" w:hAnsi="Times New Roman"/>
          <w:sz w:val="24"/>
          <w:szCs w:val="24"/>
          <w:lang w:eastAsia="sk-SK"/>
        </w:rPr>
        <w:t>Kontaktná osoba: Ing. Javorka, sekcia energetiky MH SR</w:t>
      </w:r>
    </w:p>
    <w:p w14:paraId="2C5D1FE5" w14:textId="77777777" w:rsidR="00326425" w:rsidRPr="000B37EF" w:rsidRDefault="00326425" w:rsidP="00326425">
      <w:pPr>
        <w:spacing w:after="0" w:line="240" w:lineRule="auto"/>
        <w:rPr>
          <w:rFonts w:ascii="Times New Roman" w:eastAsia="Times New Roman" w:hAnsi="Times New Roman"/>
          <w:sz w:val="24"/>
          <w:szCs w:val="24"/>
          <w:lang w:eastAsia="sk-SK"/>
        </w:rPr>
      </w:pPr>
      <w:r w:rsidRPr="000B37EF">
        <w:rPr>
          <w:rFonts w:ascii="Times New Roman" w:eastAsia="Times New Roman" w:hAnsi="Times New Roman"/>
          <w:sz w:val="24"/>
          <w:szCs w:val="24"/>
          <w:lang w:eastAsia="sk-SK"/>
        </w:rPr>
        <w:t>25. 11. 2020</w:t>
      </w:r>
    </w:p>
    <w:p w14:paraId="4DE9A20D" w14:textId="76226696" w:rsidR="00F37C06" w:rsidRDefault="00F37C06" w:rsidP="00BB1475">
      <w:pPr>
        <w:spacing w:after="0" w:line="240" w:lineRule="auto"/>
        <w:rPr>
          <w:rFonts w:ascii="Times New Roman" w:eastAsia="Times New Roman" w:hAnsi="Times New Roman"/>
          <w:sz w:val="24"/>
          <w:szCs w:val="24"/>
          <w:lang w:eastAsia="sk-SK"/>
        </w:rPr>
        <w:sectPr w:rsidR="00F37C06" w:rsidSect="007A5CEA">
          <w:headerReference w:type="default" r:id="rId52"/>
          <w:footerReference w:type="default" r:id="rId53"/>
          <w:pgSz w:w="16838" w:h="11906" w:orient="landscape"/>
          <w:pgMar w:top="1418" w:right="851" w:bottom="1418" w:left="1418" w:header="708" w:footer="708" w:gutter="0"/>
          <w:cols w:space="708"/>
          <w:docGrid w:linePitch="360"/>
        </w:sectPr>
      </w:pPr>
    </w:p>
    <w:p w14:paraId="201059D2" w14:textId="1DB1ED4F" w:rsidR="002C7EEF" w:rsidRDefault="002C7EEF" w:rsidP="00BB1475">
      <w:pPr>
        <w:spacing w:after="0" w:line="240" w:lineRule="auto"/>
        <w:rPr>
          <w:rFonts w:ascii="Times New Roman" w:eastAsia="Times New Roman" w:hAnsi="Times New Roman"/>
          <w:sz w:val="24"/>
          <w:szCs w:val="24"/>
          <w:lang w:eastAsia="sk-SK"/>
        </w:rPr>
      </w:pPr>
    </w:p>
    <w:p w14:paraId="4A8ACCC6" w14:textId="7B58A699" w:rsidR="002C7EEF" w:rsidRDefault="002C7EEF" w:rsidP="00BB1475">
      <w:pPr>
        <w:spacing w:after="0" w:line="240" w:lineRule="auto"/>
        <w:rPr>
          <w:rFonts w:ascii="Times New Roman" w:eastAsia="Times New Roman" w:hAnsi="Times New Roman"/>
          <w:sz w:val="24"/>
          <w:szCs w:val="24"/>
          <w:lang w:eastAsia="sk-SK"/>
        </w:rPr>
      </w:pPr>
    </w:p>
    <w:p w14:paraId="49DE9721" w14:textId="77777777" w:rsidR="002C7EEF" w:rsidRPr="00515408" w:rsidRDefault="002C7EEF" w:rsidP="00BB1475">
      <w:pPr>
        <w:spacing w:after="0" w:line="240" w:lineRule="auto"/>
        <w:rPr>
          <w:rFonts w:ascii="Times New Roman" w:eastAsia="Times New Roman" w:hAnsi="Times New Roman"/>
          <w:sz w:val="24"/>
          <w:szCs w:val="24"/>
          <w:lang w:eastAsia="sk-SK"/>
        </w:rPr>
      </w:pPr>
    </w:p>
    <w:p w14:paraId="22CE9DD0" w14:textId="5C9C6036" w:rsidR="005069E7" w:rsidRDefault="005069E7" w:rsidP="00CA74EE">
      <w:pPr>
        <w:tabs>
          <w:tab w:val="left" w:pos="1843"/>
        </w:tabs>
        <w:ind w:right="72"/>
        <w:rPr>
          <w:rFonts w:ascii="Times New Roman" w:eastAsia="Times New Roman" w:hAnsi="Times New Roman" w:cs="Times New Roman"/>
          <w:color w:val="000000" w:themeColor="text1"/>
          <w:sz w:val="24"/>
          <w:szCs w:val="24"/>
        </w:rPr>
      </w:pPr>
    </w:p>
    <w:p w14:paraId="5743813F" w14:textId="77777777" w:rsidR="008659BE" w:rsidRDefault="008659BE" w:rsidP="00CA74EE">
      <w:pPr>
        <w:tabs>
          <w:tab w:val="left" w:pos="1843"/>
        </w:tabs>
        <w:ind w:right="72"/>
        <w:rPr>
          <w:rFonts w:ascii="Times New Roman" w:eastAsia="Times New Roman" w:hAnsi="Times New Roman" w:cs="Times New Roman"/>
          <w:color w:val="000000" w:themeColor="text1"/>
          <w:sz w:val="24"/>
          <w:szCs w:val="24"/>
        </w:rPr>
      </w:pPr>
    </w:p>
    <w:p w14:paraId="53C243D3" w14:textId="77777777" w:rsidR="008659BE" w:rsidRDefault="008659BE" w:rsidP="00CA74EE">
      <w:pPr>
        <w:tabs>
          <w:tab w:val="left" w:pos="1843"/>
        </w:tabs>
        <w:ind w:right="72"/>
        <w:rPr>
          <w:rFonts w:ascii="Times New Roman" w:eastAsia="Times New Roman" w:hAnsi="Times New Roman" w:cs="Times New Roman"/>
          <w:color w:val="000000" w:themeColor="text1"/>
          <w:sz w:val="24"/>
          <w:szCs w:val="24"/>
        </w:rPr>
      </w:pPr>
    </w:p>
    <w:p w14:paraId="5EB0CBBE" w14:textId="77777777" w:rsidR="008659BE" w:rsidRDefault="008659BE" w:rsidP="00CA74EE">
      <w:pPr>
        <w:tabs>
          <w:tab w:val="left" w:pos="1843"/>
        </w:tabs>
        <w:ind w:right="72"/>
        <w:rPr>
          <w:rFonts w:ascii="Times New Roman" w:eastAsia="Times New Roman" w:hAnsi="Times New Roman" w:cs="Times New Roman"/>
          <w:color w:val="000000" w:themeColor="text1"/>
          <w:sz w:val="24"/>
          <w:szCs w:val="24"/>
        </w:rPr>
      </w:pPr>
    </w:p>
    <w:p w14:paraId="3F852CE9" w14:textId="77777777" w:rsidR="008659BE" w:rsidRDefault="008659BE" w:rsidP="00CA74EE">
      <w:pPr>
        <w:tabs>
          <w:tab w:val="left" w:pos="1843"/>
        </w:tabs>
        <w:ind w:right="72"/>
        <w:rPr>
          <w:rFonts w:ascii="Times New Roman" w:eastAsia="Times New Roman" w:hAnsi="Times New Roman" w:cs="Times New Roman"/>
          <w:color w:val="000000" w:themeColor="text1"/>
          <w:sz w:val="24"/>
          <w:szCs w:val="24"/>
        </w:rPr>
      </w:pPr>
    </w:p>
    <w:p w14:paraId="7318CE44" w14:textId="77777777" w:rsidR="008659BE" w:rsidRDefault="008659BE" w:rsidP="00CA74EE">
      <w:pPr>
        <w:tabs>
          <w:tab w:val="left" w:pos="1843"/>
        </w:tabs>
        <w:ind w:right="72"/>
        <w:rPr>
          <w:rFonts w:ascii="Times New Roman" w:eastAsia="Times New Roman" w:hAnsi="Times New Roman" w:cs="Times New Roman"/>
          <w:color w:val="000000" w:themeColor="text1"/>
          <w:sz w:val="24"/>
          <w:szCs w:val="24"/>
        </w:rPr>
      </w:pPr>
    </w:p>
    <w:p w14:paraId="19AE0EED" w14:textId="77777777" w:rsidR="008659BE" w:rsidRDefault="008659BE" w:rsidP="00CA74EE">
      <w:pPr>
        <w:tabs>
          <w:tab w:val="left" w:pos="1843"/>
        </w:tabs>
        <w:ind w:right="72"/>
        <w:rPr>
          <w:rFonts w:ascii="Times New Roman" w:eastAsia="Times New Roman" w:hAnsi="Times New Roman" w:cs="Times New Roman"/>
          <w:color w:val="000000" w:themeColor="text1"/>
          <w:sz w:val="24"/>
          <w:szCs w:val="24"/>
        </w:rPr>
      </w:pPr>
    </w:p>
    <w:p w14:paraId="457F561D" w14:textId="77777777" w:rsidR="008659BE" w:rsidRDefault="008659BE" w:rsidP="00CA74EE">
      <w:pPr>
        <w:tabs>
          <w:tab w:val="left" w:pos="1843"/>
        </w:tabs>
        <w:ind w:right="72"/>
        <w:rPr>
          <w:rFonts w:ascii="Times New Roman" w:eastAsia="Times New Roman" w:hAnsi="Times New Roman" w:cs="Times New Roman"/>
          <w:color w:val="000000" w:themeColor="text1"/>
          <w:sz w:val="24"/>
          <w:szCs w:val="24"/>
        </w:rPr>
      </w:pPr>
    </w:p>
    <w:p w14:paraId="41178355" w14:textId="77777777" w:rsidR="008659BE" w:rsidRDefault="008659BE" w:rsidP="00CA74EE">
      <w:pPr>
        <w:tabs>
          <w:tab w:val="left" w:pos="1843"/>
        </w:tabs>
        <w:ind w:right="72"/>
        <w:rPr>
          <w:rFonts w:ascii="Times New Roman" w:eastAsia="Times New Roman" w:hAnsi="Times New Roman" w:cs="Times New Roman"/>
          <w:color w:val="000000" w:themeColor="text1"/>
          <w:sz w:val="24"/>
          <w:szCs w:val="24"/>
        </w:rPr>
      </w:pPr>
    </w:p>
    <w:p w14:paraId="3E1623D4" w14:textId="77777777" w:rsidR="008659BE" w:rsidRDefault="008659BE" w:rsidP="00CA74EE">
      <w:pPr>
        <w:tabs>
          <w:tab w:val="left" w:pos="1843"/>
        </w:tabs>
        <w:ind w:right="72"/>
        <w:rPr>
          <w:rFonts w:ascii="Times New Roman" w:eastAsia="Times New Roman" w:hAnsi="Times New Roman" w:cs="Times New Roman"/>
          <w:color w:val="000000" w:themeColor="text1"/>
          <w:sz w:val="24"/>
          <w:szCs w:val="24"/>
        </w:rPr>
      </w:pPr>
    </w:p>
    <w:p w14:paraId="72694E95" w14:textId="77777777" w:rsidR="008659BE" w:rsidRDefault="008659BE" w:rsidP="00CA74EE">
      <w:pPr>
        <w:tabs>
          <w:tab w:val="left" w:pos="1843"/>
        </w:tabs>
        <w:ind w:right="72"/>
        <w:rPr>
          <w:rFonts w:ascii="Times New Roman" w:eastAsia="Times New Roman" w:hAnsi="Times New Roman" w:cs="Times New Roman"/>
          <w:color w:val="000000" w:themeColor="text1"/>
          <w:sz w:val="24"/>
          <w:szCs w:val="24"/>
        </w:rPr>
      </w:pPr>
    </w:p>
    <w:p w14:paraId="4CF8B0C6" w14:textId="77777777" w:rsidR="008659BE" w:rsidRDefault="008659BE" w:rsidP="00CA74EE">
      <w:pPr>
        <w:tabs>
          <w:tab w:val="left" w:pos="1843"/>
        </w:tabs>
        <w:ind w:right="72"/>
        <w:rPr>
          <w:rFonts w:ascii="Times New Roman" w:eastAsia="Times New Roman" w:hAnsi="Times New Roman" w:cs="Times New Roman"/>
          <w:color w:val="000000" w:themeColor="text1"/>
          <w:sz w:val="24"/>
          <w:szCs w:val="24"/>
        </w:rPr>
      </w:pPr>
    </w:p>
    <w:p w14:paraId="7BA28580" w14:textId="77777777" w:rsidR="008659BE" w:rsidRDefault="008659BE" w:rsidP="00CA74EE">
      <w:pPr>
        <w:tabs>
          <w:tab w:val="left" w:pos="1843"/>
        </w:tabs>
        <w:ind w:right="72"/>
        <w:rPr>
          <w:rFonts w:ascii="Times New Roman" w:eastAsia="Times New Roman" w:hAnsi="Times New Roman" w:cs="Times New Roman"/>
          <w:color w:val="000000" w:themeColor="text1"/>
          <w:sz w:val="24"/>
          <w:szCs w:val="24"/>
        </w:rPr>
      </w:pPr>
    </w:p>
    <w:p w14:paraId="11BCC044" w14:textId="77777777" w:rsidR="008659BE" w:rsidRDefault="008659BE" w:rsidP="00CA74EE">
      <w:pPr>
        <w:tabs>
          <w:tab w:val="left" w:pos="1843"/>
        </w:tabs>
        <w:ind w:right="72"/>
        <w:rPr>
          <w:rFonts w:ascii="Times New Roman" w:eastAsia="Times New Roman" w:hAnsi="Times New Roman" w:cs="Times New Roman"/>
          <w:color w:val="000000" w:themeColor="text1"/>
          <w:sz w:val="24"/>
          <w:szCs w:val="24"/>
        </w:rPr>
      </w:pPr>
    </w:p>
    <w:p w14:paraId="1128A5D5" w14:textId="77777777" w:rsidR="008659BE" w:rsidRDefault="008659BE" w:rsidP="00CA74EE">
      <w:pPr>
        <w:tabs>
          <w:tab w:val="left" w:pos="1843"/>
        </w:tabs>
        <w:ind w:right="72"/>
        <w:rPr>
          <w:rFonts w:ascii="Times New Roman" w:eastAsia="Times New Roman" w:hAnsi="Times New Roman" w:cs="Times New Roman"/>
          <w:color w:val="000000" w:themeColor="text1"/>
          <w:sz w:val="24"/>
          <w:szCs w:val="24"/>
        </w:rPr>
      </w:pPr>
    </w:p>
    <w:p w14:paraId="2E528496" w14:textId="77777777" w:rsidR="008659BE" w:rsidRDefault="008659BE" w:rsidP="00CA74EE">
      <w:pPr>
        <w:tabs>
          <w:tab w:val="left" w:pos="1843"/>
        </w:tabs>
        <w:ind w:right="72"/>
        <w:rPr>
          <w:rFonts w:ascii="Times New Roman" w:eastAsia="Times New Roman" w:hAnsi="Times New Roman" w:cs="Times New Roman"/>
          <w:color w:val="000000" w:themeColor="text1"/>
          <w:sz w:val="24"/>
          <w:szCs w:val="24"/>
        </w:rPr>
      </w:pPr>
    </w:p>
    <w:p w14:paraId="411A94E8" w14:textId="77777777" w:rsidR="008659BE" w:rsidRDefault="008659BE" w:rsidP="00CA74EE">
      <w:pPr>
        <w:tabs>
          <w:tab w:val="left" w:pos="1843"/>
        </w:tabs>
        <w:ind w:right="72"/>
        <w:rPr>
          <w:rFonts w:ascii="Times New Roman" w:eastAsia="Times New Roman" w:hAnsi="Times New Roman" w:cs="Times New Roman"/>
          <w:color w:val="000000" w:themeColor="text1"/>
          <w:sz w:val="24"/>
          <w:szCs w:val="24"/>
        </w:rPr>
      </w:pPr>
    </w:p>
    <w:p w14:paraId="2138940E" w14:textId="469B875A" w:rsidR="008659BE" w:rsidRPr="008659BE" w:rsidRDefault="008659BE" w:rsidP="00141C06">
      <w:pPr>
        <w:spacing w:after="0"/>
        <w:ind w:left="-181" w:right="-539"/>
        <w:rPr>
          <w:rFonts w:ascii="Times New Roman" w:hAnsi="Times New Roman" w:cs="Times New Roman"/>
          <w:sz w:val="24"/>
          <w:szCs w:val="24"/>
        </w:rPr>
      </w:pPr>
      <w:r w:rsidRPr="008659BE">
        <w:rPr>
          <w:rFonts w:ascii="Times New Roman" w:hAnsi="Times New Roman" w:cs="Times New Roman"/>
          <w:sz w:val="24"/>
          <w:szCs w:val="24"/>
        </w:rPr>
        <w:t>___________________________________________________________________________</w:t>
      </w:r>
      <w:r w:rsidR="00D554E2">
        <w:rPr>
          <w:rFonts w:ascii="Times New Roman" w:hAnsi="Times New Roman" w:cs="Times New Roman"/>
          <w:sz w:val="24"/>
          <w:szCs w:val="24"/>
        </w:rPr>
        <w:t>__</w:t>
      </w:r>
      <w:r w:rsidRPr="008659BE">
        <w:rPr>
          <w:rFonts w:ascii="Times New Roman" w:hAnsi="Times New Roman" w:cs="Times New Roman"/>
          <w:sz w:val="24"/>
          <w:szCs w:val="24"/>
        </w:rPr>
        <w:t>___</w:t>
      </w:r>
      <w:r w:rsidRPr="008659BE">
        <w:rPr>
          <w:rFonts w:ascii="Times New Roman" w:hAnsi="Times New Roman" w:cs="Times New Roman"/>
          <w:sz w:val="24"/>
          <w:szCs w:val="24"/>
        </w:rPr>
        <w:br/>
      </w:r>
      <w:r>
        <w:br/>
      </w:r>
      <w:r w:rsidRPr="008659BE">
        <w:rPr>
          <w:rFonts w:ascii="Times New Roman" w:hAnsi="Times New Roman" w:cs="Times New Roman"/>
          <w:b/>
          <w:sz w:val="24"/>
          <w:szCs w:val="24"/>
        </w:rPr>
        <w:t>Vydavateľ</w:t>
      </w:r>
      <w:r w:rsidRPr="008659BE">
        <w:rPr>
          <w:rFonts w:ascii="Times New Roman" w:hAnsi="Times New Roman" w:cs="Times New Roman"/>
          <w:sz w:val="24"/>
          <w:szCs w:val="24"/>
        </w:rPr>
        <w:t xml:space="preserve">: Ministerstvo hospodárstva Slovenskej republiky, </w:t>
      </w:r>
      <w:r w:rsidR="00141C06" w:rsidRPr="00745EA1">
        <w:rPr>
          <w:rFonts w:ascii="Times New Roman" w:hAnsi="Times New Roman" w:cs="Times New Roman"/>
          <w:sz w:val="24"/>
          <w:szCs w:val="24"/>
        </w:rPr>
        <w:t>Mlynské nivy 44/a, 827 15 Bratislava,</w:t>
      </w:r>
      <w:r w:rsidR="00141C06" w:rsidRPr="00745EA1">
        <w:rPr>
          <w:rFonts w:ascii="Times New Roman" w:hAnsi="Times New Roman" w:cs="Times New Roman"/>
          <w:sz w:val="24"/>
          <w:szCs w:val="24"/>
        </w:rPr>
        <w:br/>
      </w:r>
      <w:r w:rsidRPr="008659BE">
        <w:rPr>
          <w:rFonts w:ascii="Times New Roman" w:hAnsi="Times New Roman" w:cs="Times New Roman"/>
          <w:sz w:val="24"/>
          <w:szCs w:val="24"/>
        </w:rPr>
        <w:t xml:space="preserve">              </w:t>
      </w:r>
      <w:r w:rsidR="00141C06">
        <w:rPr>
          <w:rFonts w:ascii="Times New Roman" w:hAnsi="Times New Roman" w:cs="Times New Roman"/>
          <w:sz w:val="24"/>
          <w:szCs w:val="24"/>
        </w:rPr>
        <w:t xml:space="preserve">     </w:t>
      </w:r>
      <w:r w:rsidRPr="008659BE">
        <w:rPr>
          <w:rFonts w:ascii="Times New Roman" w:hAnsi="Times New Roman" w:cs="Times New Roman"/>
          <w:sz w:val="24"/>
          <w:szCs w:val="24"/>
        </w:rPr>
        <w:t xml:space="preserve">  tel. ústredňa +421-2-4854 1111, fax - podateľňa +421-2-4333 7827 </w:t>
      </w:r>
    </w:p>
    <w:p w14:paraId="12949D27" w14:textId="77777777" w:rsidR="008659BE" w:rsidRPr="008659BE" w:rsidRDefault="008659BE" w:rsidP="008659BE">
      <w:pPr>
        <w:spacing w:after="0"/>
        <w:ind w:left="-180" w:right="-539"/>
        <w:rPr>
          <w:rFonts w:ascii="Times New Roman" w:hAnsi="Times New Roman" w:cs="Times New Roman"/>
          <w:sz w:val="24"/>
          <w:szCs w:val="24"/>
        </w:rPr>
      </w:pPr>
      <w:r w:rsidRPr="008659BE">
        <w:rPr>
          <w:rFonts w:ascii="Times New Roman" w:hAnsi="Times New Roman" w:cs="Times New Roman"/>
          <w:b/>
          <w:sz w:val="24"/>
          <w:szCs w:val="24"/>
        </w:rPr>
        <w:t>Redakčná rada:</w:t>
      </w:r>
      <w:r w:rsidRPr="008659BE">
        <w:rPr>
          <w:rFonts w:ascii="Times New Roman" w:hAnsi="Times New Roman" w:cs="Times New Roman"/>
          <w:sz w:val="24"/>
          <w:szCs w:val="24"/>
        </w:rPr>
        <w:t xml:space="preserve"> JUDr. Ladislav Hajdu - predseda, zodpovedný za právnu ochranu </w:t>
      </w:r>
    </w:p>
    <w:p w14:paraId="24D9DB92" w14:textId="77777777" w:rsidR="008659BE" w:rsidRPr="008659BE" w:rsidRDefault="008659BE" w:rsidP="008659BE">
      <w:pPr>
        <w:spacing w:after="0"/>
        <w:ind w:left="708" w:right="-539" w:firstLine="852"/>
        <w:rPr>
          <w:rFonts w:ascii="Times New Roman" w:hAnsi="Times New Roman" w:cs="Times New Roman"/>
          <w:sz w:val="24"/>
          <w:szCs w:val="24"/>
        </w:rPr>
      </w:pPr>
      <w:r w:rsidRPr="008659BE">
        <w:rPr>
          <w:rFonts w:ascii="Times New Roman" w:hAnsi="Times New Roman" w:cs="Times New Roman"/>
          <w:sz w:val="24"/>
          <w:szCs w:val="24"/>
        </w:rPr>
        <w:t xml:space="preserve">Mgr. Jakub Pastier - redaktor </w:t>
      </w:r>
    </w:p>
    <w:p w14:paraId="54C9307A" w14:textId="77777777" w:rsidR="008659BE" w:rsidRPr="008659BE" w:rsidRDefault="008659BE" w:rsidP="008659BE">
      <w:pPr>
        <w:spacing w:after="0"/>
        <w:ind w:left="708" w:right="-539" w:firstLine="852"/>
        <w:rPr>
          <w:rFonts w:ascii="Times New Roman" w:hAnsi="Times New Roman" w:cs="Times New Roman"/>
          <w:color w:val="000000" w:themeColor="text1"/>
          <w:sz w:val="24"/>
          <w:szCs w:val="24"/>
        </w:rPr>
      </w:pPr>
      <w:r w:rsidRPr="008659BE">
        <w:rPr>
          <w:rFonts w:ascii="Times New Roman" w:hAnsi="Times New Roman" w:cs="Times New Roman"/>
          <w:color w:val="000000" w:themeColor="text1"/>
          <w:sz w:val="24"/>
          <w:szCs w:val="24"/>
        </w:rPr>
        <w:t xml:space="preserve">Mgr. Jana </w:t>
      </w:r>
      <w:proofErr w:type="spellStart"/>
      <w:r w:rsidRPr="008659BE">
        <w:rPr>
          <w:rFonts w:ascii="Times New Roman" w:hAnsi="Times New Roman" w:cs="Times New Roman"/>
          <w:color w:val="000000" w:themeColor="text1"/>
          <w:sz w:val="24"/>
          <w:szCs w:val="24"/>
        </w:rPr>
        <w:t>Krištofová</w:t>
      </w:r>
      <w:proofErr w:type="spellEnd"/>
      <w:r w:rsidRPr="008659BE">
        <w:rPr>
          <w:rFonts w:ascii="Times New Roman" w:hAnsi="Times New Roman" w:cs="Times New Roman"/>
          <w:color w:val="000000" w:themeColor="text1"/>
          <w:sz w:val="24"/>
          <w:szCs w:val="24"/>
        </w:rPr>
        <w:t xml:space="preserve"> - jazyková úprava </w:t>
      </w:r>
    </w:p>
    <w:p w14:paraId="45559A40" w14:textId="77777777" w:rsidR="008659BE" w:rsidRPr="008659BE" w:rsidRDefault="008659BE" w:rsidP="008659BE">
      <w:pPr>
        <w:spacing w:after="0"/>
        <w:ind w:left="708" w:right="-539" w:firstLine="852"/>
        <w:rPr>
          <w:rFonts w:ascii="Times New Roman" w:hAnsi="Times New Roman" w:cs="Times New Roman"/>
          <w:sz w:val="24"/>
          <w:szCs w:val="24"/>
        </w:rPr>
      </w:pPr>
      <w:r w:rsidRPr="008659BE">
        <w:rPr>
          <w:rFonts w:ascii="Times New Roman" w:hAnsi="Times New Roman" w:cs="Times New Roman"/>
          <w:sz w:val="24"/>
          <w:szCs w:val="24"/>
        </w:rPr>
        <w:t>Stanislav Pálka - grafická úprava</w:t>
      </w:r>
    </w:p>
    <w:p w14:paraId="000B729A" w14:textId="77777777" w:rsidR="008659BE" w:rsidRPr="008659BE" w:rsidRDefault="008659BE" w:rsidP="008659BE">
      <w:pPr>
        <w:spacing w:after="0"/>
        <w:ind w:left="-180" w:right="-539"/>
        <w:rPr>
          <w:rFonts w:ascii="Times New Roman" w:hAnsi="Times New Roman" w:cs="Times New Roman"/>
          <w:sz w:val="24"/>
          <w:szCs w:val="24"/>
        </w:rPr>
      </w:pPr>
      <w:r w:rsidRPr="008659BE">
        <w:rPr>
          <w:rFonts w:ascii="Times New Roman" w:hAnsi="Times New Roman" w:cs="Times New Roman"/>
          <w:b/>
          <w:sz w:val="24"/>
          <w:szCs w:val="24"/>
        </w:rPr>
        <w:t>Vychádza</w:t>
      </w:r>
      <w:r w:rsidRPr="008659BE">
        <w:rPr>
          <w:rFonts w:ascii="Times New Roman" w:hAnsi="Times New Roman" w:cs="Times New Roman"/>
          <w:sz w:val="24"/>
          <w:szCs w:val="24"/>
        </w:rPr>
        <w:t xml:space="preserve">: podľa potrieb ministerstva </w:t>
      </w:r>
    </w:p>
    <w:p w14:paraId="52384042" w14:textId="77777777" w:rsidR="008659BE" w:rsidRPr="008659BE" w:rsidRDefault="008659BE" w:rsidP="008659BE">
      <w:pPr>
        <w:spacing w:after="0"/>
        <w:ind w:left="-180" w:right="-539"/>
        <w:rPr>
          <w:rFonts w:ascii="Times New Roman" w:hAnsi="Times New Roman" w:cs="Times New Roman"/>
          <w:sz w:val="24"/>
          <w:szCs w:val="24"/>
        </w:rPr>
      </w:pPr>
      <w:r w:rsidRPr="008659BE">
        <w:rPr>
          <w:rFonts w:ascii="Times New Roman" w:hAnsi="Times New Roman" w:cs="Times New Roman"/>
          <w:b/>
          <w:sz w:val="24"/>
          <w:szCs w:val="24"/>
        </w:rPr>
        <w:t xml:space="preserve">Tlač: </w:t>
      </w:r>
      <w:r w:rsidRPr="008659BE">
        <w:rPr>
          <w:rFonts w:ascii="Times New Roman" w:hAnsi="Times New Roman" w:cs="Times New Roman"/>
          <w:sz w:val="24"/>
          <w:szCs w:val="24"/>
        </w:rPr>
        <w:t xml:space="preserve">Ministerstvo hospodárstva Slovenskej republiky, Mlynské nivy 44/a, 827 15 Bratislava </w:t>
      </w:r>
    </w:p>
    <w:p w14:paraId="5305F44D" w14:textId="77777777" w:rsidR="008659BE" w:rsidRPr="008659BE" w:rsidRDefault="008659BE" w:rsidP="008659BE">
      <w:pPr>
        <w:spacing w:after="0"/>
        <w:ind w:left="-180" w:right="-539"/>
        <w:rPr>
          <w:rFonts w:ascii="Times New Roman" w:hAnsi="Times New Roman" w:cs="Times New Roman"/>
          <w:b/>
          <w:sz w:val="24"/>
          <w:szCs w:val="24"/>
        </w:rPr>
      </w:pPr>
      <w:r w:rsidRPr="008659BE">
        <w:rPr>
          <w:rFonts w:ascii="Times New Roman" w:hAnsi="Times New Roman" w:cs="Times New Roman"/>
          <w:b/>
          <w:sz w:val="24"/>
          <w:szCs w:val="24"/>
        </w:rPr>
        <w:t>Expedícia:</w:t>
      </w:r>
      <w:r w:rsidRPr="008659BE">
        <w:rPr>
          <w:rFonts w:ascii="Times New Roman" w:hAnsi="Times New Roman" w:cs="Times New Roman"/>
          <w:sz w:val="24"/>
          <w:szCs w:val="24"/>
        </w:rPr>
        <w:t xml:space="preserve"> podľa rozdeľovníka Ministerstva hospodárstva Slovenskej republiky</w:t>
      </w:r>
      <w:r w:rsidRPr="008659BE">
        <w:rPr>
          <w:rFonts w:ascii="Times New Roman" w:hAnsi="Times New Roman" w:cs="Times New Roman"/>
          <w:b/>
          <w:sz w:val="24"/>
          <w:szCs w:val="24"/>
        </w:rPr>
        <w:t xml:space="preserve"> </w:t>
      </w:r>
    </w:p>
    <w:p w14:paraId="267A0AA9" w14:textId="77777777" w:rsidR="008659BE" w:rsidRPr="008659BE" w:rsidRDefault="008659BE" w:rsidP="008659BE">
      <w:pPr>
        <w:spacing w:after="0"/>
        <w:ind w:left="-180" w:right="-539"/>
        <w:rPr>
          <w:rFonts w:ascii="Times New Roman" w:hAnsi="Times New Roman" w:cs="Times New Roman"/>
          <w:color w:val="000000"/>
          <w:sz w:val="24"/>
          <w:szCs w:val="24"/>
        </w:rPr>
      </w:pPr>
      <w:r w:rsidRPr="008659BE">
        <w:rPr>
          <w:rFonts w:ascii="Times New Roman" w:hAnsi="Times New Roman" w:cs="Times New Roman"/>
          <w:b/>
          <w:sz w:val="24"/>
          <w:szCs w:val="24"/>
        </w:rPr>
        <w:t>Registračné číslo</w:t>
      </w:r>
      <w:r w:rsidRPr="008659BE">
        <w:rPr>
          <w:rFonts w:ascii="Times New Roman" w:hAnsi="Times New Roman" w:cs="Times New Roman"/>
          <w:sz w:val="24"/>
          <w:szCs w:val="24"/>
        </w:rPr>
        <w:t xml:space="preserve"> MK SR: 1514/1996 zo dňa 2. 8. 1998 </w:t>
      </w:r>
    </w:p>
    <w:sectPr w:rsidR="008659BE" w:rsidRPr="008659BE" w:rsidSect="007A5CEA">
      <w:pgSz w:w="11906" w:h="16838"/>
      <w:pgMar w:top="1418" w:right="851"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77036B" w14:textId="77777777" w:rsidR="008619C5" w:rsidRDefault="008619C5" w:rsidP="006158B0">
      <w:pPr>
        <w:spacing w:after="0" w:line="240" w:lineRule="auto"/>
      </w:pPr>
      <w:r>
        <w:separator/>
      </w:r>
    </w:p>
  </w:endnote>
  <w:endnote w:type="continuationSeparator" w:id="0">
    <w:p w14:paraId="71C0D976" w14:textId="77777777" w:rsidR="008619C5" w:rsidRDefault="008619C5" w:rsidP="00615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845045"/>
      <w:docPartObj>
        <w:docPartGallery w:val="Page Numbers (Bottom of Page)"/>
        <w:docPartUnique/>
      </w:docPartObj>
    </w:sdtPr>
    <w:sdtContent>
      <w:p w14:paraId="1B2F4D92" w14:textId="77777777" w:rsidR="007F573E" w:rsidRDefault="007F573E">
        <w:pPr>
          <w:pStyle w:val="Pta"/>
          <w:jc w:val="center"/>
        </w:pPr>
        <w:r>
          <w:br/>
        </w:r>
        <w:r w:rsidRPr="00520DE7">
          <w:rPr>
            <w:rFonts w:ascii="Times New Roman" w:hAnsi="Times New Roman" w:cs="Times New Roman"/>
          </w:rPr>
          <w:fldChar w:fldCharType="begin"/>
        </w:r>
        <w:r w:rsidRPr="00520DE7">
          <w:rPr>
            <w:rFonts w:ascii="Times New Roman" w:hAnsi="Times New Roman" w:cs="Times New Roman"/>
          </w:rPr>
          <w:instrText>PAGE   \* MERGEFORMAT</w:instrText>
        </w:r>
        <w:r w:rsidRPr="00520DE7">
          <w:rPr>
            <w:rFonts w:ascii="Times New Roman" w:hAnsi="Times New Roman" w:cs="Times New Roman"/>
          </w:rPr>
          <w:fldChar w:fldCharType="separate"/>
        </w:r>
        <w:r>
          <w:rPr>
            <w:rFonts w:ascii="Times New Roman" w:hAnsi="Times New Roman" w:cs="Times New Roman"/>
            <w:noProof/>
          </w:rPr>
          <w:t>2</w:t>
        </w:r>
        <w:r w:rsidRPr="00520DE7">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D723D" w14:textId="77777777" w:rsidR="007F573E" w:rsidRDefault="007F573E">
    <w:pPr>
      <w:pStyle w:val="Pta"/>
      <w:jc w:val="center"/>
    </w:pPr>
    <w:r>
      <w:fldChar w:fldCharType="begin"/>
    </w:r>
    <w:r>
      <w:instrText>PAGE   \* MERGEFORMAT</w:instrText>
    </w:r>
    <w:r>
      <w:fldChar w:fldCharType="separate"/>
    </w:r>
    <w:r>
      <w:rPr>
        <w:noProof/>
      </w:rPr>
      <w:t>3</w:t>
    </w:r>
    <w:r>
      <w:fldChar w:fldCharType="end"/>
    </w:r>
  </w:p>
  <w:p w14:paraId="4C045B30" w14:textId="77777777" w:rsidR="007F573E" w:rsidRDefault="007F573E">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145C9" w14:textId="77777777" w:rsidR="007F573E" w:rsidRDefault="007F573E">
    <w:pPr>
      <w:pStyle w:val="Pta"/>
      <w:jc w:val="center"/>
    </w:pPr>
  </w:p>
  <w:p w14:paraId="2F9EFA33" w14:textId="77777777" w:rsidR="007F573E" w:rsidRDefault="007F573E">
    <w:pPr>
      <w:pStyle w:val="Pt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334386"/>
      <w:docPartObj>
        <w:docPartGallery w:val="Page Numbers (Bottom of Page)"/>
        <w:docPartUnique/>
      </w:docPartObj>
    </w:sdtPr>
    <w:sdtEndPr/>
    <w:sdtContent>
      <w:p w14:paraId="6F4269B8" w14:textId="36282E7A" w:rsidR="00ED2101" w:rsidRDefault="00ED2101">
        <w:pPr>
          <w:pStyle w:val="Pta"/>
          <w:jc w:val="center"/>
        </w:pPr>
        <w:r>
          <w:fldChar w:fldCharType="begin"/>
        </w:r>
        <w:r>
          <w:instrText>PAGE   \* MERGEFORMAT</w:instrText>
        </w:r>
        <w:r>
          <w:fldChar w:fldCharType="separate"/>
        </w:r>
        <w:r w:rsidR="00CE75FC">
          <w:rPr>
            <w:noProof/>
          </w:rPr>
          <w:t>3</w:t>
        </w:r>
        <w:r>
          <w:fldChar w:fldCharType="end"/>
        </w:r>
      </w:p>
    </w:sdtContent>
  </w:sdt>
  <w:p w14:paraId="0598EF0C" w14:textId="77777777" w:rsidR="003A7062" w:rsidRPr="00781A4B" w:rsidRDefault="003A7062" w:rsidP="00B27340">
    <w:pPr>
      <w:pStyle w:val="Pta"/>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2786263"/>
      <w:docPartObj>
        <w:docPartGallery w:val="Page Numbers (Bottom of Page)"/>
        <w:docPartUnique/>
      </w:docPartObj>
    </w:sdtPr>
    <w:sdtContent>
      <w:p w14:paraId="37193329" w14:textId="77777777" w:rsidR="007F573E" w:rsidRPr="00781A4B" w:rsidRDefault="007F573E" w:rsidP="00B27340">
        <w:pPr>
          <w:pStyle w:val="Pta"/>
          <w:jc w:val="center"/>
        </w:pPr>
        <w:r w:rsidRPr="00E06D83">
          <w:rPr>
            <w:rFonts w:ascii="Arial" w:hAnsi="Arial" w:cs="Arial"/>
          </w:rPr>
          <w:fldChar w:fldCharType="begin"/>
        </w:r>
        <w:r w:rsidRPr="00E06D83">
          <w:rPr>
            <w:rFonts w:ascii="Arial" w:hAnsi="Arial" w:cs="Arial"/>
          </w:rPr>
          <w:instrText>PAGE   \* MERGEFORMAT</w:instrText>
        </w:r>
        <w:r w:rsidRPr="00E06D83">
          <w:rPr>
            <w:rFonts w:ascii="Arial" w:hAnsi="Arial" w:cs="Arial"/>
          </w:rPr>
          <w:fldChar w:fldCharType="separate"/>
        </w:r>
        <w:r w:rsidR="00CE75FC">
          <w:rPr>
            <w:rFonts w:ascii="Arial" w:hAnsi="Arial" w:cs="Arial"/>
            <w:noProof/>
          </w:rPr>
          <w:t>4</w:t>
        </w:r>
        <w:r w:rsidRPr="00E06D83">
          <w:rPr>
            <w:rFonts w:ascii="Arial" w:hAnsi="Arial" w:cs="Arial"/>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91ACB" w14:textId="77777777" w:rsidR="007F573E" w:rsidRDefault="007F573E" w:rsidP="00F37C06">
    <w:pPr>
      <w:pStyle w:val="Pta"/>
      <w:jc w:val="center"/>
    </w:pPr>
    <w:r>
      <w:fldChar w:fldCharType="begin"/>
    </w:r>
    <w:r>
      <w:instrText>PAGE   \* MERGEFORMAT</w:instrText>
    </w:r>
    <w:r>
      <w:fldChar w:fldCharType="separate"/>
    </w:r>
    <w:r w:rsidR="00CE75FC">
      <w:rPr>
        <w:noProof/>
      </w:rPr>
      <w:t>67</w:t>
    </w:r>
    <w:r>
      <w:fldChar w:fldCharType="end"/>
    </w:r>
  </w:p>
  <w:p w14:paraId="2235DCFA" w14:textId="77777777" w:rsidR="007F573E" w:rsidRDefault="007F573E">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A6DF83" w14:textId="77777777" w:rsidR="008619C5" w:rsidRDefault="008619C5" w:rsidP="006158B0">
      <w:pPr>
        <w:spacing w:after="0" w:line="240" w:lineRule="auto"/>
      </w:pPr>
      <w:r>
        <w:separator/>
      </w:r>
    </w:p>
  </w:footnote>
  <w:footnote w:type="continuationSeparator" w:id="0">
    <w:p w14:paraId="1E5AAB07" w14:textId="77777777" w:rsidR="008619C5" w:rsidRDefault="008619C5" w:rsidP="006158B0">
      <w:pPr>
        <w:spacing w:after="0" w:line="240" w:lineRule="auto"/>
      </w:pPr>
      <w:r>
        <w:continuationSeparator/>
      </w:r>
    </w:p>
  </w:footnote>
  <w:footnote w:id="1">
    <w:p w14:paraId="507DBE9A" w14:textId="77777777" w:rsidR="007F573E" w:rsidRPr="004E18D9" w:rsidRDefault="007F573E" w:rsidP="00B27340">
      <w:pPr>
        <w:pStyle w:val="Textpoznmkypodiarou"/>
        <w:tabs>
          <w:tab w:val="left" w:pos="142"/>
        </w:tabs>
        <w:ind w:left="142" w:hanging="142"/>
        <w:rPr>
          <w:rFonts w:ascii="Arial" w:hAnsi="Arial" w:cs="Arial"/>
          <w:sz w:val="16"/>
          <w:szCs w:val="16"/>
        </w:rPr>
      </w:pPr>
      <w:r w:rsidRPr="004E18D9">
        <w:rPr>
          <w:rStyle w:val="Odkaznapoznmkupodiarou"/>
          <w:rFonts w:ascii="Arial" w:hAnsi="Arial" w:cs="Arial"/>
          <w:sz w:val="16"/>
          <w:szCs w:val="16"/>
        </w:rPr>
        <w:footnoteRef/>
      </w:r>
      <w:r w:rsidRPr="004E18D9">
        <w:rPr>
          <w:rFonts w:ascii="Arial" w:hAnsi="Arial" w:cs="Arial"/>
          <w:sz w:val="16"/>
          <w:szCs w:val="16"/>
        </w:rPr>
        <w:t xml:space="preserve"> </w:t>
      </w:r>
      <w:r>
        <w:rPr>
          <w:rFonts w:ascii="Arial" w:hAnsi="Arial" w:cs="Arial"/>
          <w:sz w:val="16"/>
          <w:szCs w:val="16"/>
        </w:rPr>
        <w:tab/>
      </w:r>
      <w:hyperlink r:id="rId1" w:history="1">
        <w:r w:rsidRPr="00CF15B1">
          <w:rPr>
            <w:rStyle w:val="Hypertextovprepojenie"/>
            <w:rFonts w:ascii="Arial" w:hAnsi="Arial" w:cs="Arial"/>
            <w:sz w:val="16"/>
            <w:szCs w:val="16"/>
          </w:rPr>
          <w:t>https://www.sepsas.sk/Rocenka.asp?kod=496</w:t>
        </w:r>
      </w:hyperlink>
    </w:p>
  </w:footnote>
  <w:footnote w:id="2">
    <w:p w14:paraId="030605EC" w14:textId="77777777" w:rsidR="007F573E" w:rsidRPr="008F645C" w:rsidRDefault="007F573E" w:rsidP="00B27340">
      <w:pPr>
        <w:pStyle w:val="Textpoznmkypodiarou"/>
        <w:tabs>
          <w:tab w:val="left" w:pos="142"/>
        </w:tabs>
        <w:ind w:left="142" w:hanging="142"/>
        <w:rPr>
          <w:rFonts w:ascii="Arial" w:hAnsi="Arial" w:cs="Arial"/>
          <w:sz w:val="16"/>
          <w:szCs w:val="16"/>
        </w:rPr>
      </w:pPr>
      <w:r w:rsidRPr="008F645C">
        <w:rPr>
          <w:rStyle w:val="Odkaznapoznmkupodiarou"/>
          <w:rFonts w:ascii="Arial" w:hAnsi="Arial" w:cs="Arial"/>
          <w:sz w:val="16"/>
          <w:szCs w:val="16"/>
        </w:rPr>
        <w:footnoteRef/>
      </w:r>
      <w:r w:rsidRPr="008F645C">
        <w:rPr>
          <w:rFonts w:ascii="Arial" w:hAnsi="Arial" w:cs="Arial"/>
          <w:sz w:val="16"/>
          <w:szCs w:val="16"/>
        </w:rPr>
        <w:t xml:space="preserve"> </w:t>
      </w:r>
      <w:r w:rsidRPr="008F645C">
        <w:rPr>
          <w:rFonts w:ascii="Arial" w:hAnsi="Arial" w:cs="Arial"/>
          <w:sz w:val="16"/>
          <w:szCs w:val="16"/>
        </w:rPr>
        <w:tab/>
      </w:r>
      <w:hyperlink r:id="rId2" w:history="1">
        <w:r w:rsidRPr="008F645C">
          <w:rPr>
            <w:rStyle w:val="Hypertextovprepojenie"/>
            <w:rFonts w:ascii="Arial" w:hAnsi="Arial" w:cs="Arial"/>
            <w:sz w:val="16"/>
            <w:szCs w:val="16"/>
          </w:rPr>
          <w:t>https://www.sepsas.sk/ProgramRozvoja.asp?kod=338</w:t>
        </w:r>
      </w:hyperlink>
    </w:p>
  </w:footnote>
  <w:footnote w:id="3">
    <w:p w14:paraId="191DD866" w14:textId="77777777" w:rsidR="007F573E" w:rsidRPr="008F645C" w:rsidRDefault="007F573E" w:rsidP="00B27340">
      <w:pPr>
        <w:pStyle w:val="Textpoznmkypodiarou"/>
        <w:tabs>
          <w:tab w:val="left" w:pos="142"/>
        </w:tabs>
        <w:ind w:left="142" w:hanging="142"/>
        <w:rPr>
          <w:rFonts w:ascii="Arial" w:hAnsi="Arial" w:cs="Arial"/>
          <w:sz w:val="16"/>
          <w:szCs w:val="16"/>
        </w:rPr>
      </w:pPr>
      <w:r w:rsidRPr="008F645C">
        <w:rPr>
          <w:rStyle w:val="Odkaznapoznmkupodiarou"/>
          <w:rFonts w:ascii="Arial" w:hAnsi="Arial" w:cs="Arial"/>
          <w:sz w:val="16"/>
          <w:szCs w:val="16"/>
        </w:rPr>
        <w:footnoteRef/>
      </w:r>
      <w:r w:rsidRPr="008F645C">
        <w:rPr>
          <w:rFonts w:ascii="Arial" w:hAnsi="Arial" w:cs="Arial"/>
          <w:sz w:val="16"/>
          <w:szCs w:val="16"/>
        </w:rPr>
        <w:t xml:space="preserve"> </w:t>
      </w:r>
      <w:r>
        <w:rPr>
          <w:rFonts w:ascii="Arial" w:hAnsi="Arial" w:cs="Arial"/>
          <w:sz w:val="16"/>
          <w:szCs w:val="16"/>
        </w:rPr>
        <w:tab/>
      </w:r>
      <w:hyperlink r:id="rId3" w:history="1">
        <w:r w:rsidRPr="008F645C">
          <w:rPr>
            <w:rStyle w:val="Hypertextovprepojenie"/>
            <w:rFonts w:ascii="Arial" w:hAnsi="Arial" w:cs="Arial"/>
            <w:sz w:val="16"/>
            <w:szCs w:val="16"/>
          </w:rPr>
          <w:t>https://www.mhsr.sk/energetika/urcenie-instalovaneho-vykonu-zariadeni-na-vyrobu-elektriny-z-oze-a-kvet-na-ktore-sa-vztahuje-podpora-pre-rok-2019</w:t>
        </w:r>
      </w:hyperlink>
    </w:p>
  </w:footnote>
  <w:footnote w:id="4">
    <w:p w14:paraId="2903743C" w14:textId="77777777" w:rsidR="007F573E" w:rsidRPr="004F5F12" w:rsidRDefault="007F573E" w:rsidP="00B27340">
      <w:pPr>
        <w:pStyle w:val="Textpoznmkypodiarou"/>
        <w:tabs>
          <w:tab w:val="left" w:pos="142"/>
        </w:tabs>
        <w:ind w:left="142" w:hanging="142"/>
        <w:rPr>
          <w:rFonts w:ascii="Arial" w:hAnsi="Arial" w:cs="Arial"/>
          <w:sz w:val="16"/>
          <w:szCs w:val="16"/>
        </w:rPr>
      </w:pPr>
      <w:r w:rsidRPr="004F5F12">
        <w:rPr>
          <w:rStyle w:val="Odkaznapoznmkupodiarou"/>
          <w:rFonts w:ascii="Arial" w:hAnsi="Arial" w:cs="Arial"/>
          <w:sz w:val="16"/>
          <w:szCs w:val="16"/>
        </w:rPr>
        <w:footnoteRef/>
      </w:r>
      <w:r w:rsidRPr="004F5F12">
        <w:rPr>
          <w:rFonts w:ascii="Arial" w:hAnsi="Arial" w:cs="Arial"/>
          <w:sz w:val="16"/>
          <w:szCs w:val="16"/>
        </w:rPr>
        <w:t xml:space="preserve"> </w:t>
      </w:r>
      <w:hyperlink r:id="rId4" w:history="1">
        <w:r w:rsidRPr="004F5F12">
          <w:rPr>
            <w:rStyle w:val="Hypertextovprepojenie"/>
            <w:rFonts w:ascii="Arial" w:hAnsi="Arial" w:cs="Arial"/>
            <w:iCs/>
            <w:sz w:val="16"/>
            <w:szCs w:val="16"/>
          </w:rPr>
          <w:t>www.sepsas.sk</w:t>
        </w:r>
      </w:hyperlink>
    </w:p>
  </w:footnote>
  <w:footnote w:id="5">
    <w:p w14:paraId="048EEE9A" w14:textId="77777777" w:rsidR="007F573E" w:rsidRPr="00854D0D" w:rsidRDefault="007F573E" w:rsidP="00B27340">
      <w:pPr>
        <w:pStyle w:val="Textpoznmkypodiarou"/>
        <w:tabs>
          <w:tab w:val="left" w:pos="142"/>
        </w:tabs>
        <w:ind w:left="142" w:hanging="142"/>
        <w:rPr>
          <w:rFonts w:cs="Times New Roman"/>
          <w:sz w:val="16"/>
          <w:szCs w:val="16"/>
        </w:rPr>
      </w:pPr>
      <w:r w:rsidRPr="00854D0D">
        <w:rPr>
          <w:rStyle w:val="Odkaznapoznmkupodiarou"/>
          <w:sz w:val="16"/>
          <w:szCs w:val="16"/>
        </w:rPr>
        <w:footnoteRef/>
      </w:r>
      <w:r w:rsidRPr="00854D0D">
        <w:rPr>
          <w:rFonts w:cs="Times New Roman"/>
          <w:sz w:val="16"/>
          <w:szCs w:val="16"/>
        </w:rPr>
        <w:t xml:space="preserve"> </w:t>
      </w:r>
      <w:r w:rsidRPr="00854D0D">
        <w:rPr>
          <w:rFonts w:cs="Times New Roman"/>
          <w:sz w:val="16"/>
          <w:szCs w:val="16"/>
        </w:rPr>
        <w:t>pravdepodobné zaraďovanie výrobných jednotiek a ekonomické nasadzovanie ich dostupného výkonu pre pokrývanie predpokladaného zaťaženia sústavy v hodinovom rozlíšení pri zohľadnení technicko-ekonomických parametrov výrobní elektriny, výpadkov a obmedzení pri výrobe a v prenose elektriny.</w:t>
      </w:r>
    </w:p>
  </w:footnote>
  <w:footnote w:id="6">
    <w:p w14:paraId="7A644463" w14:textId="77777777" w:rsidR="007F573E" w:rsidRPr="00F548C7" w:rsidRDefault="007F573E" w:rsidP="00B27340">
      <w:pPr>
        <w:pStyle w:val="Textpoznmkypodiarou"/>
        <w:tabs>
          <w:tab w:val="left" w:pos="142"/>
        </w:tabs>
        <w:ind w:left="142" w:hanging="142"/>
        <w:rPr>
          <w:rFonts w:ascii="Arial" w:hAnsi="Arial" w:cs="Arial"/>
          <w:sz w:val="16"/>
          <w:szCs w:val="16"/>
        </w:rPr>
      </w:pPr>
      <w:r w:rsidRPr="00F548C7">
        <w:rPr>
          <w:rStyle w:val="Odkaznapoznmkupodiarou"/>
          <w:rFonts w:ascii="Arial" w:hAnsi="Arial" w:cs="Arial"/>
          <w:sz w:val="16"/>
          <w:szCs w:val="16"/>
        </w:rPr>
        <w:footnoteRef/>
      </w:r>
      <w:r w:rsidRPr="00F548C7">
        <w:rPr>
          <w:rFonts w:ascii="Arial" w:hAnsi="Arial" w:cs="Arial"/>
          <w:sz w:val="16"/>
          <w:szCs w:val="16"/>
        </w:rPr>
        <w:t xml:space="preserve"> </w:t>
      </w:r>
      <w:hyperlink r:id="rId5" w:history="1">
        <w:r w:rsidRPr="00F548C7">
          <w:rPr>
            <w:rStyle w:val="Hypertextovprepojenie"/>
            <w:rFonts w:ascii="Arial" w:hAnsi="Arial" w:cs="Arial"/>
            <w:sz w:val="16"/>
            <w:szCs w:val="16"/>
          </w:rPr>
          <w:t>http://tyndp.entsoe.eu/</w:t>
        </w:r>
      </w:hyperlink>
    </w:p>
  </w:footnote>
  <w:footnote w:id="7">
    <w:p w14:paraId="73A07DE0" w14:textId="77777777" w:rsidR="007F573E" w:rsidRPr="00F548C7" w:rsidRDefault="007F573E" w:rsidP="00B27340">
      <w:pPr>
        <w:pStyle w:val="Textpoznmkypodiarou"/>
        <w:rPr>
          <w:rFonts w:ascii="Arial" w:hAnsi="Arial" w:cs="Arial"/>
          <w:sz w:val="16"/>
          <w:szCs w:val="16"/>
        </w:rPr>
      </w:pPr>
      <w:r w:rsidRPr="00F548C7">
        <w:rPr>
          <w:rStyle w:val="Odkaznapoznmkupodiarou"/>
          <w:rFonts w:ascii="Arial" w:hAnsi="Arial" w:cs="Arial"/>
          <w:sz w:val="16"/>
          <w:szCs w:val="16"/>
        </w:rPr>
        <w:footnoteRef/>
      </w:r>
      <w:r w:rsidRPr="00F548C7">
        <w:rPr>
          <w:rFonts w:ascii="Arial" w:hAnsi="Arial" w:cs="Arial"/>
          <w:sz w:val="16"/>
          <w:szCs w:val="16"/>
        </w:rPr>
        <w:t xml:space="preserve"> </w:t>
      </w:r>
      <w:hyperlink r:id="rId6" w:history="1">
        <w:r w:rsidRPr="00F548C7">
          <w:rPr>
            <w:rStyle w:val="Hypertextovprepojenie"/>
            <w:rFonts w:ascii="Arial" w:hAnsi="Arial" w:cs="Arial"/>
            <w:sz w:val="16"/>
            <w:szCs w:val="16"/>
          </w:rPr>
          <w:t>https://www.mhsr.sk/energetika/medzinarodna-spolupraca/projekty-spolocneho-zaujmu-pci</w:t>
        </w:r>
      </w:hyperlink>
    </w:p>
  </w:footnote>
  <w:footnote w:id="8">
    <w:p w14:paraId="6F09FA93" w14:textId="77777777" w:rsidR="007F573E" w:rsidRPr="00770958" w:rsidRDefault="007F573E" w:rsidP="00B27340">
      <w:pPr>
        <w:pStyle w:val="Textpoznmkypodiarou"/>
        <w:tabs>
          <w:tab w:val="left" w:pos="142"/>
        </w:tabs>
        <w:ind w:left="142" w:hanging="142"/>
        <w:rPr>
          <w:rFonts w:ascii="Arial" w:hAnsi="Arial" w:cs="Arial"/>
          <w:sz w:val="16"/>
          <w:szCs w:val="16"/>
        </w:rPr>
      </w:pPr>
      <w:r w:rsidRPr="004E72A6">
        <w:rPr>
          <w:rStyle w:val="Odkaznapoznmkupodiarou"/>
          <w:rFonts w:ascii="Arial" w:hAnsi="Arial" w:cs="Arial"/>
          <w:sz w:val="16"/>
          <w:szCs w:val="16"/>
        </w:rPr>
        <w:footnoteRef/>
      </w:r>
      <w:r w:rsidRPr="004E72A6">
        <w:rPr>
          <w:rFonts w:ascii="Arial" w:hAnsi="Arial" w:cs="Arial"/>
          <w:sz w:val="16"/>
          <w:szCs w:val="16"/>
        </w:rPr>
        <w:t xml:space="preserve"> Definitívne rozhodnutie a konkrétny harmonogram výmeny bude závisieť od konečnej dohody so spoločnosťou </w:t>
      </w:r>
      <w:proofErr w:type="spellStart"/>
      <w:r w:rsidRPr="004E72A6">
        <w:rPr>
          <w:rFonts w:ascii="Arial" w:hAnsi="Arial" w:cs="Arial"/>
          <w:sz w:val="16"/>
          <w:szCs w:val="16"/>
        </w:rPr>
        <w:t>Slovalco</w:t>
      </w:r>
      <w:proofErr w:type="spellEnd"/>
      <w:r w:rsidRPr="004E72A6">
        <w:rPr>
          <w:rFonts w:ascii="Arial" w:hAnsi="Arial" w:cs="Arial"/>
          <w:sz w:val="16"/>
          <w:szCs w:val="16"/>
        </w:rPr>
        <w:t>, a. s., o ďalše</w:t>
      </w:r>
      <w:r w:rsidRPr="00770958">
        <w:rPr>
          <w:rFonts w:ascii="Arial" w:hAnsi="Arial" w:cs="Arial"/>
          <w:sz w:val="16"/>
          <w:szCs w:val="16"/>
        </w:rPr>
        <w:t>j prevádzke jej zariadení v PS a o celkovej výške odberu z PS.</w:t>
      </w:r>
    </w:p>
  </w:footnote>
  <w:footnote w:id="9">
    <w:p w14:paraId="6CDED183" w14:textId="77777777" w:rsidR="007F573E" w:rsidRPr="008F645C" w:rsidRDefault="007F573E" w:rsidP="00B27340">
      <w:pPr>
        <w:pStyle w:val="Textpoznmkypodiarou"/>
        <w:rPr>
          <w:rFonts w:ascii="Arial" w:hAnsi="Arial" w:cs="Arial"/>
          <w:sz w:val="16"/>
          <w:szCs w:val="16"/>
        </w:rPr>
      </w:pPr>
      <w:r w:rsidRPr="008F645C">
        <w:rPr>
          <w:rStyle w:val="Odkaznapoznmkupodiarou"/>
          <w:rFonts w:ascii="Arial" w:hAnsi="Arial" w:cs="Arial"/>
          <w:sz w:val="16"/>
          <w:szCs w:val="16"/>
        </w:rPr>
        <w:footnoteRef/>
      </w:r>
      <w:r w:rsidRPr="008F645C">
        <w:rPr>
          <w:rFonts w:ascii="Arial" w:hAnsi="Arial" w:cs="Arial"/>
          <w:sz w:val="16"/>
          <w:szCs w:val="16"/>
        </w:rPr>
        <w:t xml:space="preserve"> </w:t>
      </w:r>
      <w:hyperlink r:id="rId7" w:history="1">
        <w:r w:rsidRPr="008F645C">
          <w:rPr>
            <w:rStyle w:val="Hypertextovprepojenie"/>
            <w:rFonts w:ascii="Arial" w:hAnsi="Arial" w:cs="Arial"/>
            <w:sz w:val="16"/>
            <w:szCs w:val="16"/>
          </w:rPr>
          <w:t>https://www.mhsr.sk/energetika/medzinarodna-spolupraca/projekty-spolocneho-zaujmu-pci</w:t>
        </w:r>
      </w:hyperlink>
    </w:p>
  </w:footnote>
  <w:footnote w:id="10">
    <w:p w14:paraId="3B186F06" w14:textId="77777777" w:rsidR="007F573E" w:rsidRPr="008F645C" w:rsidRDefault="007F573E" w:rsidP="00B27340">
      <w:pPr>
        <w:pStyle w:val="Textpoznmkypodiarou"/>
        <w:rPr>
          <w:rFonts w:ascii="Arial" w:hAnsi="Arial" w:cs="Arial"/>
          <w:sz w:val="16"/>
          <w:szCs w:val="16"/>
        </w:rPr>
      </w:pPr>
      <w:r w:rsidRPr="008F645C">
        <w:rPr>
          <w:rStyle w:val="Odkaznapoznmkupodiarou"/>
          <w:rFonts w:ascii="Arial" w:hAnsi="Arial" w:cs="Arial"/>
          <w:sz w:val="16"/>
          <w:szCs w:val="16"/>
        </w:rPr>
        <w:footnoteRef/>
      </w:r>
      <w:r w:rsidRPr="008F645C">
        <w:rPr>
          <w:rFonts w:ascii="Arial" w:hAnsi="Arial" w:cs="Arial"/>
          <w:sz w:val="16"/>
          <w:szCs w:val="16"/>
        </w:rPr>
        <w:t xml:space="preserve"> </w:t>
      </w:r>
      <w:hyperlink r:id="rId8" w:history="1">
        <w:r w:rsidRPr="008F645C">
          <w:rPr>
            <w:rStyle w:val="Hypertextovprepojenie"/>
            <w:rFonts w:ascii="Arial" w:hAnsi="Arial" w:cs="Arial"/>
            <w:sz w:val="16"/>
            <w:szCs w:val="16"/>
          </w:rPr>
          <w:t>https://energy-community.org/regionalinitiatives/infrastructure/selection.html</w:t>
        </w:r>
      </w:hyperlink>
      <w:r w:rsidRPr="008F645C">
        <w:rPr>
          <w:rFonts w:ascii="Arial" w:hAnsi="Arial" w:cs="Arial"/>
          <w:sz w:val="16"/>
          <w:szCs w:val="16"/>
        </w:rPr>
        <w:t xml:space="preserve"> </w:t>
      </w:r>
    </w:p>
  </w:footnote>
  <w:footnote w:id="11">
    <w:p w14:paraId="33680A54" w14:textId="77777777" w:rsidR="007F573E" w:rsidRPr="008F645C" w:rsidRDefault="007F573E" w:rsidP="00B27340">
      <w:pPr>
        <w:pStyle w:val="Textpoznmkypodiarou"/>
        <w:tabs>
          <w:tab w:val="left" w:pos="142"/>
        </w:tabs>
        <w:ind w:left="142" w:hanging="142"/>
        <w:rPr>
          <w:rFonts w:ascii="Arial" w:hAnsi="Arial" w:cs="Arial"/>
          <w:sz w:val="16"/>
          <w:szCs w:val="16"/>
        </w:rPr>
      </w:pPr>
      <w:r w:rsidRPr="008F645C">
        <w:rPr>
          <w:rStyle w:val="Odkaznapoznmkupodiarou"/>
          <w:rFonts w:ascii="Arial" w:hAnsi="Arial" w:cs="Arial"/>
          <w:sz w:val="16"/>
          <w:szCs w:val="16"/>
        </w:rPr>
        <w:footnoteRef/>
      </w:r>
      <w:r w:rsidRPr="008F645C">
        <w:rPr>
          <w:rFonts w:ascii="Arial" w:hAnsi="Arial" w:cs="Arial"/>
          <w:sz w:val="16"/>
          <w:szCs w:val="16"/>
        </w:rPr>
        <w:t xml:space="preserve"> </w:t>
      </w:r>
      <w:hyperlink r:id="rId9" w:history="1">
        <w:r w:rsidRPr="008F645C">
          <w:rPr>
            <w:rStyle w:val="Hypertextovprepojenie"/>
            <w:rFonts w:ascii="Arial" w:hAnsi="Arial" w:cs="Arial"/>
            <w:sz w:val="16"/>
            <w:szCs w:val="16"/>
          </w:rPr>
          <w:t>https://www.crz.gov.sk/index.php?ID=4006242&amp;l=sk</w:t>
        </w:r>
      </w:hyperlink>
    </w:p>
  </w:footnote>
  <w:footnote w:id="12">
    <w:p w14:paraId="3961077E" w14:textId="77777777" w:rsidR="007F573E" w:rsidRPr="00517121" w:rsidRDefault="007F573E" w:rsidP="00B27340">
      <w:pPr>
        <w:pStyle w:val="Textpoznmkypodiarou"/>
        <w:tabs>
          <w:tab w:val="left" w:pos="142"/>
        </w:tabs>
        <w:ind w:left="142" w:hanging="142"/>
        <w:rPr>
          <w:rFonts w:ascii="Arial" w:hAnsi="Arial" w:cs="Arial"/>
          <w:sz w:val="16"/>
          <w:szCs w:val="16"/>
        </w:rPr>
      </w:pPr>
      <w:r w:rsidRPr="00517121">
        <w:rPr>
          <w:rStyle w:val="Odkaznapoznmkupodiarou"/>
          <w:rFonts w:ascii="Arial" w:hAnsi="Arial" w:cs="Arial"/>
          <w:sz w:val="16"/>
          <w:szCs w:val="16"/>
        </w:rPr>
        <w:footnoteRef/>
      </w:r>
      <w:r w:rsidRPr="00517121">
        <w:rPr>
          <w:rFonts w:ascii="Arial" w:hAnsi="Arial" w:cs="Arial"/>
          <w:sz w:val="16"/>
          <w:szCs w:val="16"/>
        </w:rPr>
        <w:t xml:space="preserve"> </w:t>
      </w:r>
      <w:hyperlink r:id="rId10" w:history="1">
        <w:r w:rsidRPr="0010648C">
          <w:rPr>
            <w:rStyle w:val="Hypertextovprepojenie"/>
            <w:rFonts w:ascii="Arial" w:hAnsi="Arial" w:cs="Arial"/>
            <w:sz w:val="16"/>
            <w:szCs w:val="16"/>
          </w:rPr>
          <w:t>https://www.sepsas.sk/Dokumenty/StandKvality/2020/02/Standardy_kvality_2019_podla_Vyhlasky_236_2016.pdf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DECBC" w14:textId="77777777" w:rsidR="003A7062" w:rsidRDefault="003A7062">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823AA" w14:textId="77777777" w:rsidR="007F573E" w:rsidRDefault="007F573E" w:rsidP="00B27340">
    <w:pPr>
      <w:pStyle w:val="Hlavika"/>
      <w:tabs>
        <w:tab w:val="clear" w:pos="9072"/>
        <w:tab w:val="right" w:pos="12900"/>
      </w:tabs>
    </w:pPr>
    <w:r>
      <w:tab/>
    </w:r>
    <w:r>
      <w:tab/>
    </w:r>
    <w:r>
      <w:t>Príloha č.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4885"/>
    <w:multiLevelType w:val="hybridMultilevel"/>
    <w:tmpl w:val="8E5601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D2F7EC6"/>
    <w:multiLevelType w:val="hybridMultilevel"/>
    <w:tmpl w:val="67DA7A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129935C4"/>
    <w:multiLevelType w:val="hybridMultilevel"/>
    <w:tmpl w:val="A84AAC8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18121965"/>
    <w:multiLevelType w:val="hybridMultilevel"/>
    <w:tmpl w:val="F88A6B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28AF05F3"/>
    <w:multiLevelType w:val="hybridMultilevel"/>
    <w:tmpl w:val="D760FE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3021165B"/>
    <w:multiLevelType w:val="hybridMultilevel"/>
    <w:tmpl w:val="ACD870B8"/>
    <w:lvl w:ilvl="0" w:tplc="041B0001">
      <w:start w:val="1"/>
      <w:numFmt w:val="bullet"/>
      <w:lvlText w:val=""/>
      <w:lvlJc w:val="left"/>
      <w:pPr>
        <w:ind w:left="1068" w:hanging="708"/>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337F50A3"/>
    <w:multiLevelType w:val="hybridMultilevel"/>
    <w:tmpl w:val="945405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3BC537A8"/>
    <w:multiLevelType w:val="hybridMultilevel"/>
    <w:tmpl w:val="C172B19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3DA23F0D"/>
    <w:multiLevelType w:val="hybridMultilevel"/>
    <w:tmpl w:val="FAD8CF94"/>
    <w:lvl w:ilvl="0" w:tplc="92125AD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nsid w:val="3F2D6CBB"/>
    <w:multiLevelType w:val="hybridMultilevel"/>
    <w:tmpl w:val="38322D3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4EC23C52"/>
    <w:multiLevelType w:val="multilevel"/>
    <w:tmpl w:val="2AB82F20"/>
    <w:lvl w:ilvl="0">
      <w:start w:val="2"/>
      <w:numFmt w:val="decimal"/>
      <w:pStyle w:val="nadpisjedna"/>
      <w:lvlText w:val="%1."/>
      <w:lvlJc w:val="left"/>
      <w:pPr>
        <w:tabs>
          <w:tab w:val="num" w:pos="720"/>
        </w:tabs>
        <w:ind w:left="72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4FC75C00"/>
    <w:multiLevelType w:val="hybridMultilevel"/>
    <w:tmpl w:val="7C74F490"/>
    <w:lvl w:ilvl="0" w:tplc="041B0017">
      <w:start w:val="1"/>
      <w:numFmt w:val="lowerLetter"/>
      <w:lvlText w:val="%1)"/>
      <w:lvlJc w:val="left"/>
      <w:pPr>
        <w:ind w:left="720" w:hanging="360"/>
      </w:pPr>
    </w:lvl>
    <w:lvl w:ilvl="1" w:tplc="DE18D610">
      <w:start w:val="2"/>
      <w:numFmt w:val="bullet"/>
      <w:lvlText w:val="•"/>
      <w:lvlJc w:val="left"/>
      <w:pPr>
        <w:ind w:left="1785" w:hanging="705"/>
      </w:pPr>
      <w:rPr>
        <w:rFonts w:ascii="Arial" w:eastAsia="Times New Roman" w:hAnsi="Arial" w:cs="Aria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54587A6F"/>
    <w:multiLevelType w:val="hybridMultilevel"/>
    <w:tmpl w:val="A7D63892"/>
    <w:lvl w:ilvl="0" w:tplc="0405000F">
      <w:start w:val="1"/>
      <w:numFmt w:val="decimal"/>
      <w:lvlText w:val="%1."/>
      <w:lvlJc w:val="left"/>
      <w:pPr>
        <w:tabs>
          <w:tab w:val="num" w:pos="720"/>
        </w:tabs>
        <w:ind w:left="720" w:hanging="360"/>
      </w:pPr>
      <w:rPr>
        <w:rFonts w:cs="Times New Roman"/>
      </w:rPr>
    </w:lvl>
    <w:lvl w:ilvl="1" w:tplc="041B0001">
      <w:start w:val="1"/>
      <w:numFmt w:val="bullet"/>
      <w:lvlText w:val=""/>
      <w:lvlJc w:val="left"/>
      <w:pPr>
        <w:tabs>
          <w:tab w:val="num" w:pos="1440"/>
        </w:tabs>
        <w:ind w:left="1440" w:hanging="360"/>
      </w:pPr>
      <w:rPr>
        <w:rFonts w:ascii="Symbol" w:hAnsi="Symbol" w:hint="default"/>
      </w:rPr>
    </w:lvl>
    <w:lvl w:ilvl="2" w:tplc="DB9CA44A">
      <w:start w:val="1"/>
      <w:numFmt w:val="lowerLetter"/>
      <w:lvlText w:val="%3)"/>
      <w:lvlJc w:val="left"/>
      <w:pPr>
        <w:tabs>
          <w:tab w:val="num" w:pos="2340"/>
        </w:tabs>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
    <w:nsid w:val="59FB3D65"/>
    <w:multiLevelType w:val="multilevel"/>
    <w:tmpl w:val="884AE2CA"/>
    <w:lvl w:ilvl="0">
      <w:start w:val="1"/>
      <w:numFmt w:val="decimal"/>
      <w:lvlText w:val="%1"/>
      <w:lvlJc w:val="left"/>
      <w:pPr>
        <w:ind w:left="432" w:hanging="432"/>
      </w:pPr>
    </w:lvl>
    <w:lvl w:ilvl="1">
      <w:start w:val="1"/>
      <w:numFmt w:val="decimal"/>
      <w:lvlText w:val="%1.%2"/>
      <w:lvlJc w:val="left"/>
      <w:pPr>
        <w:ind w:left="66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62F76A04"/>
    <w:multiLevelType w:val="hybridMultilevel"/>
    <w:tmpl w:val="CA88418A"/>
    <w:lvl w:ilvl="0" w:tplc="041B0001">
      <w:start w:val="1"/>
      <w:numFmt w:val="bullet"/>
      <w:lvlText w:val=""/>
      <w:lvlJc w:val="left"/>
      <w:pPr>
        <w:ind w:left="1065" w:hanging="705"/>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661A391B"/>
    <w:multiLevelType w:val="hybridMultilevel"/>
    <w:tmpl w:val="A84AAC8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6D76185D"/>
    <w:multiLevelType w:val="hybridMultilevel"/>
    <w:tmpl w:val="9FDE73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715757D5"/>
    <w:multiLevelType w:val="hybridMultilevel"/>
    <w:tmpl w:val="084CB86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73AD114B"/>
    <w:multiLevelType w:val="hybridMultilevel"/>
    <w:tmpl w:val="99748AC2"/>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76A73C68"/>
    <w:multiLevelType w:val="hybridMultilevel"/>
    <w:tmpl w:val="A548626C"/>
    <w:lvl w:ilvl="0" w:tplc="216A3686">
      <w:start w:val="1"/>
      <w:numFmt w:val="lowerLetter"/>
      <w:lvlText w:val="%1)"/>
      <w:lvlJc w:val="left"/>
      <w:pPr>
        <w:tabs>
          <w:tab w:val="num" w:pos="720"/>
        </w:tabs>
        <w:ind w:left="720" w:hanging="360"/>
      </w:pPr>
      <w:rPr>
        <w:rFonts w:ascii="Times New Roman" w:eastAsia="Times New Roman" w:hAnsi="Times New Roman" w:cs="Times New Roman"/>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nsid w:val="787E4D50"/>
    <w:multiLevelType w:val="hybridMultilevel"/>
    <w:tmpl w:val="92AAF0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4"/>
  </w:num>
  <w:num w:numId="4">
    <w:abstractNumId w:val="11"/>
  </w:num>
  <w:num w:numId="5">
    <w:abstractNumId w:val="3"/>
  </w:num>
  <w:num w:numId="6">
    <w:abstractNumId w:val="20"/>
  </w:num>
  <w:num w:numId="7">
    <w:abstractNumId w:val="0"/>
  </w:num>
  <w:num w:numId="8">
    <w:abstractNumId w:val="10"/>
  </w:num>
  <w:num w:numId="9">
    <w:abstractNumId w:val="4"/>
  </w:num>
  <w:num w:numId="10">
    <w:abstractNumId w:val="6"/>
  </w:num>
  <w:num w:numId="11">
    <w:abstractNumId w:val="7"/>
  </w:num>
  <w:num w:numId="12">
    <w:abstractNumId w:val="13"/>
  </w:num>
  <w:num w:numId="13">
    <w:abstractNumId w:val="9"/>
  </w:num>
  <w:num w:numId="14">
    <w:abstractNumId w:val="15"/>
  </w:num>
  <w:num w:numId="15">
    <w:abstractNumId w:val="5"/>
  </w:num>
  <w:num w:numId="16">
    <w:abstractNumId w:val="16"/>
  </w:num>
  <w:num w:numId="17">
    <w:abstractNumId w:val="12"/>
  </w:num>
  <w:num w:numId="18">
    <w:abstractNumId w:val="19"/>
  </w:num>
  <w:num w:numId="19">
    <w:abstractNumId w:val="8"/>
  </w:num>
  <w:num w:numId="20">
    <w:abstractNumId w:val="18"/>
  </w:num>
  <w:num w:numId="21">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D82"/>
    <w:rsid w:val="00003436"/>
    <w:rsid w:val="000051BC"/>
    <w:rsid w:val="00014A75"/>
    <w:rsid w:val="00026F1D"/>
    <w:rsid w:val="00027C3B"/>
    <w:rsid w:val="00034B98"/>
    <w:rsid w:val="000354C4"/>
    <w:rsid w:val="0003611E"/>
    <w:rsid w:val="00040E65"/>
    <w:rsid w:val="00043A5A"/>
    <w:rsid w:val="00047347"/>
    <w:rsid w:val="000526C2"/>
    <w:rsid w:val="00064EB6"/>
    <w:rsid w:val="00065472"/>
    <w:rsid w:val="00081406"/>
    <w:rsid w:val="00087183"/>
    <w:rsid w:val="000940C9"/>
    <w:rsid w:val="000A011B"/>
    <w:rsid w:val="000A5827"/>
    <w:rsid w:val="000B20DF"/>
    <w:rsid w:val="000C5641"/>
    <w:rsid w:val="000C7D2E"/>
    <w:rsid w:val="000D1FBA"/>
    <w:rsid w:val="000E0DCB"/>
    <w:rsid w:val="000E7A39"/>
    <w:rsid w:val="000F2829"/>
    <w:rsid w:val="000F2C9D"/>
    <w:rsid w:val="000F5EA7"/>
    <w:rsid w:val="00106D5D"/>
    <w:rsid w:val="00121B27"/>
    <w:rsid w:val="00122109"/>
    <w:rsid w:val="001245C9"/>
    <w:rsid w:val="001264B8"/>
    <w:rsid w:val="0013073A"/>
    <w:rsid w:val="00130ED5"/>
    <w:rsid w:val="00132478"/>
    <w:rsid w:val="001326E7"/>
    <w:rsid w:val="00133F67"/>
    <w:rsid w:val="001375E9"/>
    <w:rsid w:val="00141737"/>
    <w:rsid w:val="00141C06"/>
    <w:rsid w:val="0014766E"/>
    <w:rsid w:val="00155931"/>
    <w:rsid w:val="00163042"/>
    <w:rsid w:val="00165CC0"/>
    <w:rsid w:val="00165F94"/>
    <w:rsid w:val="00185ED1"/>
    <w:rsid w:val="001920A8"/>
    <w:rsid w:val="00192185"/>
    <w:rsid w:val="001A135C"/>
    <w:rsid w:val="001A3E81"/>
    <w:rsid w:val="001A4F24"/>
    <w:rsid w:val="001C2AA5"/>
    <w:rsid w:val="001C4EFC"/>
    <w:rsid w:val="001D6137"/>
    <w:rsid w:val="001E542F"/>
    <w:rsid w:val="001F4905"/>
    <w:rsid w:val="001F4B42"/>
    <w:rsid w:val="002029F0"/>
    <w:rsid w:val="00207523"/>
    <w:rsid w:val="00207C9E"/>
    <w:rsid w:val="0021492A"/>
    <w:rsid w:val="00216561"/>
    <w:rsid w:val="00220831"/>
    <w:rsid w:val="00220A5A"/>
    <w:rsid w:val="00227178"/>
    <w:rsid w:val="00230BD2"/>
    <w:rsid w:val="0023564D"/>
    <w:rsid w:val="00242E2D"/>
    <w:rsid w:val="00267BD7"/>
    <w:rsid w:val="002733DA"/>
    <w:rsid w:val="00284C8D"/>
    <w:rsid w:val="00286E9A"/>
    <w:rsid w:val="00293727"/>
    <w:rsid w:val="00297AB4"/>
    <w:rsid w:val="002A06A1"/>
    <w:rsid w:val="002A50ED"/>
    <w:rsid w:val="002A6AEE"/>
    <w:rsid w:val="002B54D7"/>
    <w:rsid w:val="002C126C"/>
    <w:rsid w:val="002C632F"/>
    <w:rsid w:val="002C69FF"/>
    <w:rsid w:val="002C7EEF"/>
    <w:rsid w:val="002D47DC"/>
    <w:rsid w:val="002D72D7"/>
    <w:rsid w:val="002E0A96"/>
    <w:rsid w:val="002E3CE7"/>
    <w:rsid w:val="002E4DAF"/>
    <w:rsid w:val="002E7822"/>
    <w:rsid w:val="002F6D41"/>
    <w:rsid w:val="00310F8B"/>
    <w:rsid w:val="00316198"/>
    <w:rsid w:val="00321559"/>
    <w:rsid w:val="00322289"/>
    <w:rsid w:val="00323BDE"/>
    <w:rsid w:val="003243C2"/>
    <w:rsid w:val="00326425"/>
    <w:rsid w:val="00336CF1"/>
    <w:rsid w:val="00345166"/>
    <w:rsid w:val="00346FF2"/>
    <w:rsid w:val="00350CE5"/>
    <w:rsid w:val="00356DA1"/>
    <w:rsid w:val="00366A4B"/>
    <w:rsid w:val="0037326C"/>
    <w:rsid w:val="00373CAA"/>
    <w:rsid w:val="0037611F"/>
    <w:rsid w:val="00377ABA"/>
    <w:rsid w:val="00394B7F"/>
    <w:rsid w:val="003A50BB"/>
    <w:rsid w:val="003A7062"/>
    <w:rsid w:val="003B03C1"/>
    <w:rsid w:val="003B2E6A"/>
    <w:rsid w:val="003B70D7"/>
    <w:rsid w:val="003C0D13"/>
    <w:rsid w:val="003E0CE7"/>
    <w:rsid w:val="003E2C06"/>
    <w:rsid w:val="003E47E8"/>
    <w:rsid w:val="003E566C"/>
    <w:rsid w:val="003F0A11"/>
    <w:rsid w:val="00407EB8"/>
    <w:rsid w:val="00410C1E"/>
    <w:rsid w:val="004134B4"/>
    <w:rsid w:val="004149BF"/>
    <w:rsid w:val="00422906"/>
    <w:rsid w:val="00424506"/>
    <w:rsid w:val="00432531"/>
    <w:rsid w:val="00432A15"/>
    <w:rsid w:val="0043515F"/>
    <w:rsid w:val="0043720D"/>
    <w:rsid w:val="0043777E"/>
    <w:rsid w:val="0044109E"/>
    <w:rsid w:val="00443FF5"/>
    <w:rsid w:val="0044407B"/>
    <w:rsid w:val="00451FE5"/>
    <w:rsid w:val="004651CD"/>
    <w:rsid w:val="004702CF"/>
    <w:rsid w:val="00472600"/>
    <w:rsid w:val="00480315"/>
    <w:rsid w:val="00494AB9"/>
    <w:rsid w:val="004A1F51"/>
    <w:rsid w:val="004A26B0"/>
    <w:rsid w:val="004A44F2"/>
    <w:rsid w:val="004B4D62"/>
    <w:rsid w:val="004B5252"/>
    <w:rsid w:val="004B6C6C"/>
    <w:rsid w:val="004C2420"/>
    <w:rsid w:val="004C5A34"/>
    <w:rsid w:val="004D1B75"/>
    <w:rsid w:val="004D2420"/>
    <w:rsid w:val="004D48FC"/>
    <w:rsid w:val="004F3A6E"/>
    <w:rsid w:val="004F443B"/>
    <w:rsid w:val="005002EA"/>
    <w:rsid w:val="005069E7"/>
    <w:rsid w:val="00512216"/>
    <w:rsid w:val="0051297E"/>
    <w:rsid w:val="00514017"/>
    <w:rsid w:val="00523A67"/>
    <w:rsid w:val="00524D75"/>
    <w:rsid w:val="005327F4"/>
    <w:rsid w:val="005366D1"/>
    <w:rsid w:val="00536ABA"/>
    <w:rsid w:val="005466BB"/>
    <w:rsid w:val="005473DD"/>
    <w:rsid w:val="00552B54"/>
    <w:rsid w:val="00560CA1"/>
    <w:rsid w:val="00571871"/>
    <w:rsid w:val="00572152"/>
    <w:rsid w:val="005727CC"/>
    <w:rsid w:val="0057518C"/>
    <w:rsid w:val="00580513"/>
    <w:rsid w:val="00581BB8"/>
    <w:rsid w:val="00581E16"/>
    <w:rsid w:val="0058344B"/>
    <w:rsid w:val="0059681A"/>
    <w:rsid w:val="005A0B97"/>
    <w:rsid w:val="005A2350"/>
    <w:rsid w:val="005A2AE8"/>
    <w:rsid w:val="005A4650"/>
    <w:rsid w:val="005B2A6F"/>
    <w:rsid w:val="005C5201"/>
    <w:rsid w:val="005D23DA"/>
    <w:rsid w:val="005D41D1"/>
    <w:rsid w:val="005D7842"/>
    <w:rsid w:val="005E102F"/>
    <w:rsid w:val="005E10D1"/>
    <w:rsid w:val="005F0557"/>
    <w:rsid w:val="005F350C"/>
    <w:rsid w:val="0060332E"/>
    <w:rsid w:val="006049E5"/>
    <w:rsid w:val="00610232"/>
    <w:rsid w:val="006158B0"/>
    <w:rsid w:val="00615B7A"/>
    <w:rsid w:val="00616748"/>
    <w:rsid w:val="00616D54"/>
    <w:rsid w:val="006306B4"/>
    <w:rsid w:val="0063115A"/>
    <w:rsid w:val="0064368D"/>
    <w:rsid w:val="0065194D"/>
    <w:rsid w:val="00654109"/>
    <w:rsid w:val="00654530"/>
    <w:rsid w:val="006572F1"/>
    <w:rsid w:val="00660587"/>
    <w:rsid w:val="00664555"/>
    <w:rsid w:val="00667B20"/>
    <w:rsid w:val="00672537"/>
    <w:rsid w:val="00677D13"/>
    <w:rsid w:val="00684C7A"/>
    <w:rsid w:val="006876A5"/>
    <w:rsid w:val="0069129F"/>
    <w:rsid w:val="006B7586"/>
    <w:rsid w:val="006C3333"/>
    <w:rsid w:val="006C7363"/>
    <w:rsid w:val="006E1D0D"/>
    <w:rsid w:val="006E2C37"/>
    <w:rsid w:val="006E4A82"/>
    <w:rsid w:val="006E5147"/>
    <w:rsid w:val="006E62A9"/>
    <w:rsid w:val="006E7938"/>
    <w:rsid w:val="00700B4E"/>
    <w:rsid w:val="00702695"/>
    <w:rsid w:val="00713763"/>
    <w:rsid w:val="00713D82"/>
    <w:rsid w:val="00715C51"/>
    <w:rsid w:val="007204A9"/>
    <w:rsid w:val="00723956"/>
    <w:rsid w:val="007318B4"/>
    <w:rsid w:val="007373B1"/>
    <w:rsid w:val="00741206"/>
    <w:rsid w:val="00745EA1"/>
    <w:rsid w:val="0075399F"/>
    <w:rsid w:val="00765E0A"/>
    <w:rsid w:val="00770CB2"/>
    <w:rsid w:val="0077110D"/>
    <w:rsid w:val="00774C33"/>
    <w:rsid w:val="007771BC"/>
    <w:rsid w:val="00780B1C"/>
    <w:rsid w:val="007826AE"/>
    <w:rsid w:val="007841C5"/>
    <w:rsid w:val="0079030B"/>
    <w:rsid w:val="00791169"/>
    <w:rsid w:val="007A0CC7"/>
    <w:rsid w:val="007A2D77"/>
    <w:rsid w:val="007A5CEA"/>
    <w:rsid w:val="007B34E6"/>
    <w:rsid w:val="007B3FE8"/>
    <w:rsid w:val="007C0A71"/>
    <w:rsid w:val="007C1993"/>
    <w:rsid w:val="007C2024"/>
    <w:rsid w:val="007C3237"/>
    <w:rsid w:val="007C3654"/>
    <w:rsid w:val="007C3A37"/>
    <w:rsid w:val="007C494E"/>
    <w:rsid w:val="007C5036"/>
    <w:rsid w:val="007C6D82"/>
    <w:rsid w:val="007D1F92"/>
    <w:rsid w:val="007E2565"/>
    <w:rsid w:val="007E7D94"/>
    <w:rsid w:val="007F3267"/>
    <w:rsid w:val="007F573E"/>
    <w:rsid w:val="007F5B2F"/>
    <w:rsid w:val="008061F4"/>
    <w:rsid w:val="00814B17"/>
    <w:rsid w:val="008160C9"/>
    <w:rsid w:val="00821325"/>
    <w:rsid w:val="00822BFD"/>
    <w:rsid w:val="0083588D"/>
    <w:rsid w:val="008359F0"/>
    <w:rsid w:val="008429B8"/>
    <w:rsid w:val="008435E0"/>
    <w:rsid w:val="00851976"/>
    <w:rsid w:val="00852E7F"/>
    <w:rsid w:val="008533D3"/>
    <w:rsid w:val="008551D6"/>
    <w:rsid w:val="008619C5"/>
    <w:rsid w:val="00864A62"/>
    <w:rsid w:val="008659BE"/>
    <w:rsid w:val="008725A6"/>
    <w:rsid w:val="00874F0B"/>
    <w:rsid w:val="00883451"/>
    <w:rsid w:val="00894305"/>
    <w:rsid w:val="00895040"/>
    <w:rsid w:val="008A3A08"/>
    <w:rsid w:val="008A55FA"/>
    <w:rsid w:val="008A627F"/>
    <w:rsid w:val="008C10CD"/>
    <w:rsid w:val="008C5CDC"/>
    <w:rsid w:val="008C6EE2"/>
    <w:rsid w:val="008D18E8"/>
    <w:rsid w:val="008D2162"/>
    <w:rsid w:val="008D39C6"/>
    <w:rsid w:val="008E1295"/>
    <w:rsid w:val="00904FE7"/>
    <w:rsid w:val="00907D6E"/>
    <w:rsid w:val="00923F07"/>
    <w:rsid w:val="00924198"/>
    <w:rsid w:val="0092680E"/>
    <w:rsid w:val="009306A6"/>
    <w:rsid w:val="0094597C"/>
    <w:rsid w:val="00945E80"/>
    <w:rsid w:val="00956D07"/>
    <w:rsid w:val="00964952"/>
    <w:rsid w:val="009715FA"/>
    <w:rsid w:val="00971CBA"/>
    <w:rsid w:val="009728C8"/>
    <w:rsid w:val="00973E54"/>
    <w:rsid w:val="00983AA6"/>
    <w:rsid w:val="00984E74"/>
    <w:rsid w:val="00994400"/>
    <w:rsid w:val="009A02B6"/>
    <w:rsid w:val="009A4377"/>
    <w:rsid w:val="009B1C9F"/>
    <w:rsid w:val="009B3D90"/>
    <w:rsid w:val="009B4489"/>
    <w:rsid w:val="009C47B5"/>
    <w:rsid w:val="009C480A"/>
    <w:rsid w:val="009C6617"/>
    <w:rsid w:val="009C6DFE"/>
    <w:rsid w:val="009C75A8"/>
    <w:rsid w:val="009D07FA"/>
    <w:rsid w:val="009D4D84"/>
    <w:rsid w:val="009E4D67"/>
    <w:rsid w:val="009E5A68"/>
    <w:rsid w:val="009F462A"/>
    <w:rsid w:val="009F4B12"/>
    <w:rsid w:val="00A009C3"/>
    <w:rsid w:val="00A02535"/>
    <w:rsid w:val="00A07877"/>
    <w:rsid w:val="00A1518E"/>
    <w:rsid w:val="00A16510"/>
    <w:rsid w:val="00A20A15"/>
    <w:rsid w:val="00A21232"/>
    <w:rsid w:val="00A23DEA"/>
    <w:rsid w:val="00A320C2"/>
    <w:rsid w:val="00A36846"/>
    <w:rsid w:val="00A42426"/>
    <w:rsid w:val="00A44AAD"/>
    <w:rsid w:val="00A505FB"/>
    <w:rsid w:val="00A50ED9"/>
    <w:rsid w:val="00A53146"/>
    <w:rsid w:val="00A54127"/>
    <w:rsid w:val="00A66A79"/>
    <w:rsid w:val="00A71FAB"/>
    <w:rsid w:val="00A723C5"/>
    <w:rsid w:val="00A81786"/>
    <w:rsid w:val="00A82938"/>
    <w:rsid w:val="00A85A32"/>
    <w:rsid w:val="00A87908"/>
    <w:rsid w:val="00A9460A"/>
    <w:rsid w:val="00AA0524"/>
    <w:rsid w:val="00AB0B44"/>
    <w:rsid w:val="00AB77F6"/>
    <w:rsid w:val="00AC3D24"/>
    <w:rsid w:val="00AC3D4B"/>
    <w:rsid w:val="00AD2C67"/>
    <w:rsid w:val="00AD7350"/>
    <w:rsid w:val="00AE4F7D"/>
    <w:rsid w:val="00AF6DD8"/>
    <w:rsid w:val="00B00CB2"/>
    <w:rsid w:val="00B02380"/>
    <w:rsid w:val="00B06A6C"/>
    <w:rsid w:val="00B105DA"/>
    <w:rsid w:val="00B146B8"/>
    <w:rsid w:val="00B174BA"/>
    <w:rsid w:val="00B2113E"/>
    <w:rsid w:val="00B21A69"/>
    <w:rsid w:val="00B21C20"/>
    <w:rsid w:val="00B27150"/>
    <w:rsid w:val="00B27340"/>
    <w:rsid w:val="00B319E2"/>
    <w:rsid w:val="00B32407"/>
    <w:rsid w:val="00B3366B"/>
    <w:rsid w:val="00B44FF9"/>
    <w:rsid w:val="00B50106"/>
    <w:rsid w:val="00B54D9A"/>
    <w:rsid w:val="00B61C83"/>
    <w:rsid w:val="00B61E4B"/>
    <w:rsid w:val="00B63A27"/>
    <w:rsid w:val="00B65F6A"/>
    <w:rsid w:val="00B67784"/>
    <w:rsid w:val="00B67CA0"/>
    <w:rsid w:val="00B71703"/>
    <w:rsid w:val="00B751AA"/>
    <w:rsid w:val="00B7782D"/>
    <w:rsid w:val="00B8646A"/>
    <w:rsid w:val="00B867FC"/>
    <w:rsid w:val="00B92EBD"/>
    <w:rsid w:val="00B93D05"/>
    <w:rsid w:val="00B97D40"/>
    <w:rsid w:val="00BB1475"/>
    <w:rsid w:val="00BB7A6F"/>
    <w:rsid w:val="00BC2938"/>
    <w:rsid w:val="00BC2F6F"/>
    <w:rsid w:val="00BC5E9E"/>
    <w:rsid w:val="00BD2611"/>
    <w:rsid w:val="00BE0CC9"/>
    <w:rsid w:val="00BE53E7"/>
    <w:rsid w:val="00BE7215"/>
    <w:rsid w:val="00BF1BB3"/>
    <w:rsid w:val="00BF2A43"/>
    <w:rsid w:val="00C005D5"/>
    <w:rsid w:val="00C130BC"/>
    <w:rsid w:val="00C1324B"/>
    <w:rsid w:val="00C148DF"/>
    <w:rsid w:val="00C24E01"/>
    <w:rsid w:val="00C35EF0"/>
    <w:rsid w:val="00C37808"/>
    <w:rsid w:val="00C37903"/>
    <w:rsid w:val="00C52938"/>
    <w:rsid w:val="00C7690F"/>
    <w:rsid w:val="00C7696A"/>
    <w:rsid w:val="00C77CFB"/>
    <w:rsid w:val="00C812A6"/>
    <w:rsid w:val="00C872EC"/>
    <w:rsid w:val="00C87BC4"/>
    <w:rsid w:val="00C9196C"/>
    <w:rsid w:val="00C92005"/>
    <w:rsid w:val="00C96F6C"/>
    <w:rsid w:val="00C97636"/>
    <w:rsid w:val="00CA74EE"/>
    <w:rsid w:val="00CB0353"/>
    <w:rsid w:val="00CB484B"/>
    <w:rsid w:val="00CC0352"/>
    <w:rsid w:val="00CC2CBD"/>
    <w:rsid w:val="00CD14D1"/>
    <w:rsid w:val="00CD7108"/>
    <w:rsid w:val="00CD7699"/>
    <w:rsid w:val="00CE5E51"/>
    <w:rsid w:val="00CE75FC"/>
    <w:rsid w:val="00CF6AC6"/>
    <w:rsid w:val="00D01A2B"/>
    <w:rsid w:val="00D0290B"/>
    <w:rsid w:val="00D03428"/>
    <w:rsid w:val="00D048BA"/>
    <w:rsid w:val="00D06158"/>
    <w:rsid w:val="00D06A87"/>
    <w:rsid w:val="00D0785D"/>
    <w:rsid w:val="00D22D12"/>
    <w:rsid w:val="00D26288"/>
    <w:rsid w:val="00D31D7E"/>
    <w:rsid w:val="00D32173"/>
    <w:rsid w:val="00D336A5"/>
    <w:rsid w:val="00D33BB2"/>
    <w:rsid w:val="00D379CB"/>
    <w:rsid w:val="00D47143"/>
    <w:rsid w:val="00D47844"/>
    <w:rsid w:val="00D51EEF"/>
    <w:rsid w:val="00D554E2"/>
    <w:rsid w:val="00D62558"/>
    <w:rsid w:val="00D70C4E"/>
    <w:rsid w:val="00D879E0"/>
    <w:rsid w:val="00D91D56"/>
    <w:rsid w:val="00D92D29"/>
    <w:rsid w:val="00D96295"/>
    <w:rsid w:val="00D971BE"/>
    <w:rsid w:val="00D97AFA"/>
    <w:rsid w:val="00DA04E1"/>
    <w:rsid w:val="00DA53E7"/>
    <w:rsid w:val="00DA5A41"/>
    <w:rsid w:val="00DA5D2A"/>
    <w:rsid w:val="00DB2DD2"/>
    <w:rsid w:val="00DB5342"/>
    <w:rsid w:val="00DB6803"/>
    <w:rsid w:val="00DC2A27"/>
    <w:rsid w:val="00DC5C29"/>
    <w:rsid w:val="00DC5C57"/>
    <w:rsid w:val="00DE273F"/>
    <w:rsid w:val="00DE4834"/>
    <w:rsid w:val="00DF02D6"/>
    <w:rsid w:val="00DF0A0A"/>
    <w:rsid w:val="00DF34E0"/>
    <w:rsid w:val="00E04088"/>
    <w:rsid w:val="00E1031B"/>
    <w:rsid w:val="00E137E4"/>
    <w:rsid w:val="00E24E36"/>
    <w:rsid w:val="00E32C2F"/>
    <w:rsid w:val="00E356A8"/>
    <w:rsid w:val="00E479CA"/>
    <w:rsid w:val="00E637C0"/>
    <w:rsid w:val="00E735EE"/>
    <w:rsid w:val="00E752E2"/>
    <w:rsid w:val="00E75828"/>
    <w:rsid w:val="00E76AA0"/>
    <w:rsid w:val="00E90113"/>
    <w:rsid w:val="00E927EE"/>
    <w:rsid w:val="00E93002"/>
    <w:rsid w:val="00E9304F"/>
    <w:rsid w:val="00EA0E9B"/>
    <w:rsid w:val="00EA1A40"/>
    <w:rsid w:val="00EA49C9"/>
    <w:rsid w:val="00EA5C0B"/>
    <w:rsid w:val="00EA5C56"/>
    <w:rsid w:val="00EA678C"/>
    <w:rsid w:val="00EB6633"/>
    <w:rsid w:val="00EB7790"/>
    <w:rsid w:val="00EC156F"/>
    <w:rsid w:val="00EC3319"/>
    <w:rsid w:val="00EC3798"/>
    <w:rsid w:val="00EC556F"/>
    <w:rsid w:val="00ED2101"/>
    <w:rsid w:val="00EE5301"/>
    <w:rsid w:val="00EF450C"/>
    <w:rsid w:val="00F0172E"/>
    <w:rsid w:val="00F1223D"/>
    <w:rsid w:val="00F135A9"/>
    <w:rsid w:val="00F1446E"/>
    <w:rsid w:val="00F2061A"/>
    <w:rsid w:val="00F21C84"/>
    <w:rsid w:val="00F27766"/>
    <w:rsid w:val="00F27DBD"/>
    <w:rsid w:val="00F304E4"/>
    <w:rsid w:val="00F32CA3"/>
    <w:rsid w:val="00F346C2"/>
    <w:rsid w:val="00F379A9"/>
    <w:rsid w:val="00F37C06"/>
    <w:rsid w:val="00F445C6"/>
    <w:rsid w:val="00F5026A"/>
    <w:rsid w:val="00F53523"/>
    <w:rsid w:val="00F54546"/>
    <w:rsid w:val="00F71EAD"/>
    <w:rsid w:val="00F83434"/>
    <w:rsid w:val="00F87291"/>
    <w:rsid w:val="00F87F20"/>
    <w:rsid w:val="00F91F55"/>
    <w:rsid w:val="00F93512"/>
    <w:rsid w:val="00FA5803"/>
    <w:rsid w:val="00FB3AEF"/>
    <w:rsid w:val="00FD02ED"/>
    <w:rsid w:val="00FD2DEE"/>
    <w:rsid w:val="00FF2CB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27C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uiPriority w:val="9"/>
    <w:qFormat/>
    <w:rsid w:val="00E479CA"/>
    <w:pPr>
      <w:keepNext/>
      <w:spacing w:after="0" w:line="240" w:lineRule="auto"/>
      <w:jc w:val="center"/>
      <w:outlineLvl w:val="0"/>
    </w:pPr>
    <w:rPr>
      <w:rFonts w:ascii="Times New Roman" w:eastAsia="Times New Roman" w:hAnsi="Times New Roman" w:cs="Times New Roman"/>
      <w:b/>
      <w:sz w:val="28"/>
      <w:szCs w:val="20"/>
      <w:lang w:eastAsia="sk-SK"/>
    </w:rPr>
  </w:style>
  <w:style w:type="paragraph" w:styleId="Nadpis2">
    <w:name w:val="heading 2"/>
    <w:basedOn w:val="Normlny"/>
    <w:next w:val="Normlny"/>
    <w:link w:val="Nadpis2Char"/>
    <w:uiPriority w:val="9"/>
    <w:unhideWhenUsed/>
    <w:qFormat/>
    <w:rsid w:val="001F490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y"/>
    <w:next w:val="Normlny"/>
    <w:link w:val="Nadpis3Char"/>
    <w:uiPriority w:val="9"/>
    <w:semiHidden/>
    <w:unhideWhenUsed/>
    <w:qFormat/>
    <w:rsid w:val="00B27340"/>
    <w:pPr>
      <w:keepNext/>
      <w:keepLines/>
      <w:spacing w:before="40" w:after="0" w:line="259" w:lineRule="auto"/>
      <w:ind w:left="720" w:hanging="720"/>
      <w:jc w:val="both"/>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y"/>
    <w:next w:val="Normlny"/>
    <w:link w:val="Nadpis4Char"/>
    <w:uiPriority w:val="9"/>
    <w:semiHidden/>
    <w:unhideWhenUsed/>
    <w:qFormat/>
    <w:rsid w:val="00B27340"/>
    <w:pPr>
      <w:keepNext/>
      <w:keepLines/>
      <w:spacing w:before="40" w:after="0" w:line="259" w:lineRule="auto"/>
      <w:ind w:left="864" w:hanging="864"/>
      <w:jc w:val="both"/>
      <w:outlineLvl w:val="3"/>
    </w:pPr>
    <w:rPr>
      <w:rFonts w:asciiTheme="majorHAnsi" w:eastAsiaTheme="majorEastAsia" w:hAnsiTheme="majorHAnsi" w:cstheme="majorBidi"/>
      <w:i/>
      <w:iCs/>
      <w:color w:val="365F91" w:themeColor="accent1" w:themeShade="BF"/>
      <w:sz w:val="24"/>
    </w:rPr>
  </w:style>
  <w:style w:type="paragraph" w:styleId="Nadpis5">
    <w:name w:val="heading 5"/>
    <w:basedOn w:val="Normlny"/>
    <w:next w:val="Normlny"/>
    <w:link w:val="Nadpis5Char"/>
    <w:uiPriority w:val="9"/>
    <w:semiHidden/>
    <w:unhideWhenUsed/>
    <w:qFormat/>
    <w:rsid w:val="00B27340"/>
    <w:pPr>
      <w:keepNext/>
      <w:keepLines/>
      <w:spacing w:before="40" w:after="0" w:line="259" w:lineRule="auto"/>
      <w:ind w:left="1008" w:hanging="1008"/>
      <w:jc w:val="both"/>
      <w:outlineLvl w:val="4"/>
    </w:pPr>
    <w:rPr>
      <w:rFonts w:asciiTheme="majorHAnsi" w:eastAsiaTheme="majorEastAsia" w:hAnsiTheme="majorHAnsi" w:cstheme="majorBidi"/>
      <w:color w:val="365F91" w:themeColor="accent1" w:themeShade="BF"/>
      <w:sz w:val="24"/>
    </w:rPr>
  </w:style>
  <w:style w:type="paragraph" w:styleId="Nadpis6">
    <w:name w:val="heading 6"/>
    <w:basedOn w:val="Normlny"/>
    <w:next w:val="Normlny"/>
    <w:link w:val="Nadpis6Char"/>
    <w:uiPriority w:val="9"/>
    <w:semiHidden/>
    <w:unhideWhenUsed/>
    <w:qFormat/>
    <w:rsid w:val="00B27340"/>
    <w:pPr>
      <w:keepNext/>
      <w:keepLines/>
      <w:spacing w:before="40" w:after="0" w:line="259" w:lineRule="auto"/>
      <w:ind w:left="1152" w:hanging="1152"/>
      <w:jc w:val="both"/>
      <w:outlineLvl w:val="5"/>
    </w:pPr>
    <w:rPr>
      <w:rFonts w:asciiTheme="majorHAnsi" w:eastAsiaTheme="majorEastAsia" w:hAnsiTheme="majorHAnsi" w:cstheme="majorBidi"/>
      <w:color w:val="243F60" w:themeColor="accent1" w:themeShade="7F"/>
      <w:sz w:val="24"/>
    </w:rPr>
  </w:style>
  <w:style w:type="paragraph" w:styleId="Nadpis7">
    <w:name w:val="heading 7"/>
    <w:basedOn w:val="Normlny"/>
    <w:next w:val="Normlny"/>
    <w:link w:val="Nadpis7Char"/>
    <w:uiPriority w:val="9"/>
    <w:semiHidden/>
    <w:unhideWhenUsed/>
    <w:qFormat/>
    <w:rsid w:val="00B27340"/>
    <w:pPr>
      <w:keepNext/>
      <w:keepLines/>
      <w:spacing w:before="40" w:after="0" w:line="259" w:lineRule="auto"/>
      <w:ind w:left="1296" w:hanging="1296"/>
      <w:jc w:val="both"/>
      <w:outlineLvl w:val="6"/>
    </w:pPr>
    <w:rPr>
      <w:rFonts w:asciiTheme="majorHAnsi" w:eastAsiaTheme="majorEastAsia" w:hAnsiTheme="majorHAnsi" w:cstheme="majorBidi"/>
      <w:i/>
      <w:iCs/>
      <w:color w:val="243F60" w:themeColor="accent1" w:themeShade="7F"/>
      <w:sz w:val="24"/>
    </w:rPr>
  </w:style>
  <w:style w:type="paragraph" w:styleId="Nadpis8">
    <w:name w:val="heading 8"/>
    <w:basedOn w:val="Normlny"/>
    <w:next w:val="Normlny"/>
    <w:link w:val="Nadpis8Char"/>
    <w:uiPriority w:val="9"/>
    <w:semiHidden/>
    <w:unhideWhenUsed/>
    <w:qFormat/>
    <w:rsid w:val="00B27340"/>
    <w:pPr>
      <w:keepNext/>
      <w:keepLines/>
      <w:spacing w:before="40" w:after="0" w:line="259"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B27340"/>
    <w:pPr>
      <w:keepNext/>
      <w:keepLines/>
      <w:spacing w:before="40" w:after="0" w:line="259"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E479CA"/>
    <w:rPr>
      <w:rFonts w:ascii="Times New Roman" w:eastAsia="Times New Roman" w:hAnsi="Times New Roman" w:cs="Times New Roman"/>
      <w:b/>
      <w:sz w:val="28"/>
      <w:szCs w:val="20"/>
      <w:lang w:eastAsia="sk-SK"/>
    </w:rPr>
  </w:style>
  <w:style w:type="character" w:customStyle="1" w:styleId="Nadpis2Char">
    <w:name w:val="Nadpis 2 Char"/>
    <w:basedOn w:val="Predvolenpsmoodseku"/>
    <w:link w:val="Nadpis2"/>
    <w:uiPriority w:val="9"/>
    <w:rsid w:val="001F4905"/>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Predvolenpsmoodseku"/>
    <w:link w:val="Nadpis3"/>
    <w:uiPriority w:val="9"/>
    <w:semiHidden/>
    <w:rsid w:val="00B27340"/>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Predvolenpsmoodseku"/>
    <w:link w:val="Nadpis4"/>
    <w:uiPriority w:val="9"/>
    <w:semiHidden/>
    <w:rsid w:val="00B27340"/>
    <w:rPr>
      <w:rFonts w:asciiTheme="majorHAnsi" w:eastAsiaTheme="majorEastAsia" w:hAnsiTheme="majorHAnsi" w:cstheme="majorBidi"/>
      <w:i/>
      <w:iCs/>
      <w:color w:val="365F91" w:themeColor="accent1" w:themeShade="BF"/>
      <w:sz w:val="24"/>
    </w:rPr>
  </w:style>
  <w:style w:type="character" w:customStyle="1" w:styleId="Nadpis5Char">
    <w:name w:val="Nadpis 5 Char"/>
    <w:basedOn w:val="Predvolenpsmoodseku"/>
    <w:link w:val="Nadpis5"/>
    <w:uiPriority w:val="9"/>
    <w:semiHidden/>
    <w:rsid w:val="00B27340"/>
    <w:rPr>
      <w:rFonts w:asciiTheme="majorHAnsi" w:eastAsiaTheme="majorEastAsia" w:hAnsiTheme="majorHAnsi" w:cstheme="majorBidi"/>
      <w:color w:val="365F91" w:themeColor="accent1" w:themeShade="BF"/>
      <w:sz w:val="24"/>
    </w:rPr>
  </w:style>
  <w:style w:type="character" w:customStyle="1" w:styleId="Nadpis6Char">
    <w:name w:val="Nadpis 6 Char"/>
    <w:basedOn w:val="Predvolenpsmoodseku"/>
    <w:link w:val="Nadpis6"/>
    <w:uiPriority w:val="9"/>
    <w:semiHidden/>
    <w:rsid w:val="00B27340"/>
    <w:rPr>
      <w:rFonts w:asciiTheme="majorHAnsi" w:eastAsiaTheme="majorEastAsia" w:hAnsiTheme="majorHAnsi" w:cstheme="majorBidi"/>
      <w:color w:val="243F60" w:themeColor="accent1" w:themeShade="7F"/>
      <w:sz w:val="24"/>
    </w:rPr>
  </w:style>
  <w:style w:type="character" w:customStyle="1" w:styleId="Nadpis7Char">
    <w:name w:val="Nadpis 7 Char"/>
    <w:basedOn w:val="Predvolenpsmoodseku"/>
    <w:link w:val="Nadpis7"/>
    <w:uiPriority w:val="9"/>
    <w:semiHidden/>
    <w:rsid w:val="00B27340"/>
    <w:rPr>
      <w:rFonts w:asciiTheme="majorHAnsi" w:eastAsiaTheme="majorEastAsia" w:hAnsiTheme="majorHAnsi" w:cstheme="majorBidi"/>
      <w:i/>
      <w:iCs/>
      <w:color w:val="243F60" w:themeColor="accent1" w:themeShade="7F"/>
      <w:sz w:val="24"/>
    </w:rPr>
  </w:style>
  <w:style w:type="character" w:customStyle="1" w:styleId="Nadpis8Char">
    <w:name w:val="Nadpis 8 Char"/>
    <w:basedOn w:val="Predvolenpsmoodseku"/>
    <w:link w:val="Nadpis8"/>
    <w:uiPriority w:val="9"/>
    <w:semiHidden/>
    <w:rsid w:val="00B27340"/>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B27340"/>
    <w:rPr>
      <w:rFonts w:asciiTheme="majorHAnsi" w:eastAsiaTheme="majorEastAsia" w:hAnsiTheme="majorHAnsi" w:cstheme="majorBidi"/>
      <w:i/>
      <w:iCs/>
      <w:color w:val="272727" w:themeColor="text1" w:themeTint="D8"/>
      <w:sz w:val="21"/>
      <w:szCs w:val="21"/>
    </w:rPr>
  </w:style>
  <w:style w:type="paragraph" w:customStyle="1" w:styleId="Default">
    <w:name w:val="Default"/>
    <w:rsid w:val="007C6D82"/>
    <w:pPr>
      <w:autoSpaceDE w:val="0"/>
      <w:autoSpaceDN w:val="0"/>
      <w:adjustRightInd w:val="0"/>
      <w:spacing w:after="0" w:line="240" w:lineRule="auto"/>
    </w:pPr>
    <w:rPr>
      <w:rFonts w:ascii="Times New Roman" w:hAnsi="Times New Roman" w:cs="Times New Roman"/>
      <w:color w:val="000000"/>
      <w:sz w:val="24"/>
      <w:szCs w:val="24"/>
    </w:rPr>
  </w:style>
  <w:style w:type="paragraph" w:styleId="Textpoznmkypodiarou">
    <w:name w:val="footnote text"/>
    <w:basedOn w:val="Normlny"/>
    <w:link w:val="TextpoznmkypodiarouChar"/>
    <w:semiHidden/>
    <w:unhideWhenUsed/>
    <w:rsid w:val="006158B0"/>
    <w:pPr>
      <w:spacing w:after="0" w:line="240" w:lineRule="auto"/>
    </w:pPr>
    <w:rPr>
      <w:sz w:val="20"/>
      <w:szCs w:val="20"/>
    </w:rPr>
  </w:style>
  <w:style w:type="character" w:customStyle="1" w:styleId="TextpoznmkypodiarouChar">
    <w:name w:val="Text poznámky pod čiarou Char"/>
    <w:basedOn w:val="Predvolenpsmoodseku"/>
    <w:link w:val="Textpoznmkypodiarou"/>
    <w:semiHidden/>
    <w:rsid w:val="006158B0"/>
    <w:rPr>
      <w:sz w:val="20"/>
      <w:szCs w:val="20"/>
    </w:rPr>
  </w:style>
  <w:style w:type="character" w:styleId="Odkaznapoznmkupodiarou">
    <w:name w:val="footnote reference"/>
    <w:basedOn w:val="Predvolenpsmoodseku"/>
    <w:semiHidden/>
    <w:unhideWhenUsed/>
    <w:rsid w:val="006158B0"/>
    <w:rPr>
      <w:vertAlign w:val="superscript"/>
    </w:rPr>
  </w:style>
  <w:style w:type="character" w:styleId="Odkaznakomentr">
    <w:name w:val="annotation reference"/>
    <w:basedOn w:val="Predvolenpsmoodseku"/>
    <w:uiPriority w:val="99"/>
    <w:semiHidden/>
    <w:unhideWhenUsed/>
    <w:rsid w:val="004A44F2"/>
    <w:rPr>
      <w:sz w:val="16"/>
      <w:szCs w:val="16"/>
    </w:rPr>
  </w:style>
  <w:style w:type="paragraph" w:styleId="Textkomentra">
    <w:name w:val="annotation text"/>
    <w:basedOn w:val="Normlny"/>
    <w:link w:val="TextkomentraChar"/>
    <w:uiPriority w:val="99"/>
    <w:unhideWhenUsed/>
    <w:rsid w:val="004A44F2"/>
    <w:pPr>
      <w:spacing w:line="240" w:lineRule="auto"/>
    </w:pPr>
    <w:rPr>
      <w:sz w:val="20"/>
      <w:szCs w:val="20"/>
    </w:rPr>
  </w:style>
  <w:style w:type="character" w:customStyle="1" w:styleId="TextkomentraChar">
    <w:name w:val="Text komentára Char"/>
    <w:basedOn w:val="Predvolenpsmoodseku"/>
    <w:link w:val="Textkomentra"/>
    <w:uiPriority w:val="99"/>
    <w:rsid w:val="004A44F2"/>
    <w:rPr>
      <w:sz w:val="20"/>
      <w:szCs w:val="20"/>
    </w:rPr>
  </w:style>
  <w:style w:type="paragraph" w:styleId="Predmetkomentra">
    <w:name w:val="annotation subject"/>
    <w:basedOn w:val="Textkomentra"/>
    <w:next w:val="Textkomentra"/>
    <w:link w:val="PredmetkomentraChar"/>
    <w:uiPriority w:val="99"/>
    <w:semiHidden/>
    <w:unhideWhenUsed/>
    <w:rsid w:val="004A44F2"/>
    <w:rPr>
      <w:b/>
      <w:bCs/>
    </w:rPr>
  </w:style>
  <w:style w:type="character" w:customStyle="1" w:styleId="PredmetkomentraChar">
    <w:name w:val="Predmet komentára Char"/>
    <w:basedOn w:val="TextkomentraChar"/>
    <w:link w:val="Predmetkomentra"/>
    <w:uiPriority w:val="99"/>
    <w:semiHidden/>
    <w:rsid w:val="004A44F2"/>
    <w:rPr>
      <w:b/>
      <w:bCs/>
      <w:sz w:val="20"/>
      <w:szCs w:val="20"/>
    </w:rPr>
  </w:style>
  <w:style w:type="paragraph" w:styleId="Textbubliny">
    <w:name w:val="Balloon Text"/>
    <w:basedOn w:val="Normlny"/>
    <w:link w:val="TextbublinyChar"/>
    <w:uiPriority w:val="99"/>
    <w:semiHidden/>
    <w:unhideWhenUsed/>
    <w:rsid w:val="004A44F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A44F2"/>
    <w:rPr>
      <w:rFonts w:ascii="Tahoma" w:hAnsi="Tahoma" w:cs="Tahoma"/>
      <w:sz w:val="16"/>
      <w:szCs w:val="16"/>
    </w:rPr>
  </w:style>
  <w:style w:type="paragraph" w:styleId="Hlavika">
    <w:name w:val="header"/>
    <w:basedOn w:val="Normlny"/>
    <w:link w:val="HlavikaChar"/>
    <w:uiPriority w:val="99"/>
    <w:unhideWhenUsed/>
    <w:rsid w:val="000E7A3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E7A39"/>
  </w:style>
  <w:style w:type="paragraph" w:styleId="Pta">
    <w:name w:val="footer"/>
    <w:basedOn w:val="Normlny"/>
    <w:link w:val="PtaChar"/>
    <w:uiPriority w:val="99"/>
    <w:unhideWhenUsed/>
    <w:rsid w:val="000E7A39"/>
    <w:pPr>
      <w:tabs>
        <w:tab w:val="center" w:pos="4536"/>
        <w:tab w:val="right" w:pos="9072"/>
      </w:tabs>
      <w:spacing w:after="0" w:line="240" w:lineRule="auto"/>
    </w:pPr>
  </w:style>
  <w:style w:type="character" w:customStyle="1" w:styleId="PtaChar">
    <w:name w:val="Päta Char"/>
    <w:basedOn w:val="Predvolenpsmoodseku"/>
    <w:link w:val="Pta"/>
    <w:uiPriority w:val="99"/>
    <w:rsid w:val="000E7A39"/>
  </w:style>
  <w:style w:type="paragraph" w:styleId="Nzov">
    <w:name w:val="Title"/>
    <w:basedOn w:val="Normlny"/>
    <w:link w:val="NzovChar"/>
    <w:qFormat/>
    <w:rsid w:val="00E479CA"/>
    <w:pPr>
      <w:spacing w:after="0" w:line="240" w:lineRule="auto"/>
      <w:jc w:val="center"/>
    </w:pPr>
    <w:rPr>
      <w:rFonts w:ascii="Times New Roman" w:eastAsia="Times New Roman" w:hAnsi="Times New Roman" w:cs="Times New Roman"/>
      <w:b/>
      <w:sz w:val="24"/>
      <w:szCs w:val="20"/>
      <w:lang w:eastAsia="sk-SK"/>
    </w:rPr>
  </w:style>
  <w:style w:type="character" w:customStyle="1" w:styleId="NzovChar">
    <w:name w:val="Názov Char"/>
    <w:basedOn w:val="Predvolenpsmoodseku"/>
    <w:link w:val="Nzov"/>
    <w:rsid w:val="00E479CA"/>
    <w:rPr>
      <w:rFonts w:ascii="Times New Roman" w:eastAsia="Times New Roman" w:hAnsi="Times New Roman" w:cs="Times New Roman"/>
      <w:b/>
      <w:sz w:val="24"/>
      <w:szCs w:val="20"/>
      <w:lang w:eastAsia="sk-SK"/>
    </w:rPr>
  </w:style>
  <w:style w:type="paragraph" w:styleId="Zkladntext">
    <w:name w:val="Body Text"/>
    <w:basedOn w:val="Normlny"/>
    <w:link w:val="ZkladntextChar"/>
    <w:uiPriority w:val="99"/>
    <w:rsid w:val="00E479CA"/>
    <w:pPr>
      <w:spacing w:after="0" w:line="240" w:lineRule="auto"/>
    </w:pPr>
    <w:rPr>
      <w:rFonts w:ascii="Times New Roman" w:eastAsia="Times New Roman" w:hAnsi="Times New Roman" w:cs="Times New Roman"/>
      <w:b/>
      <w:sz w:val="24"/>
      <w:szCs w:val="20"/>
      <w:lang w:eastAsia="sk-SK"/>
    </w:rPr>
  </w:style>
  <w:style w:type="character" w:customStyle="1" w:styleId="ZkladntextChar">
    <w:name w:val="Základný text Char"/>
    <w:basedOn w:val="Predvolenpsmoodseku"/>
    <w:link w:val="Zkladntext"/>
    <w:uiPriority w:val="99"/>
    <w:rsid w:val="00E479CA"/>
    <w:rPr>
      <w:rFonts w:ascii="Times New Roman" w:eastAsia="Times New Roman" w:hAnsi="Times New Roman" w:cs="Times New Roman"/>
      <w:b/>
      <w:sz w:val="24"/>
      <w:szCs w:val="20"/>
      <w:lang w:eastAsia="sk-SK"/>
    </w:rPr>
  </w:style>
  <w:style w:type="paragraph" w:customStyle="1" w:styleId="Nzov-M">
    <w:name w:val="Názov-M"/>
    <w:basedOn w:val="Normlny"/>
    <w:next w:val="Normlny"/>
    <w:qFormat/>
    <w:rsid w:val="00DF34E0"/>
    <w:pPr>
      <w:spacing w:after="0" w:line="240" w:lineRule="auto"/>
      <w:jc w:val="center"/>
    </w:pPr>
    <w:rPr>
      <w:rFonts w:ascii="Times New Roman" w:eastAsia="Times New Roman" w:hAnsi="Times New Roman" w:cs="Times New Roman"/>
      <w:b/>
      <w:sz w:val="24"/>
      <w:szCs w:val="24"/>
      <w:lang w:eastAsia="sk-SK"/>
    </w:rPr>
  </w:style>
  <w:style w:type="paragraph" w:styleId="Odsekzoznamu">
    <w:name w:val="List Paragraph"/>
    <w:aliases w:val="Numbering,Zoznam pismenovy"/>
    <w:basedOn w:val="Normlny"/>
    <w:uiPriority w:val="34"/>
    <w:qFormat/>
    <w:rsid w:val="009C6DFE"/>
    <w:pPr>
      <w:ind w:left="720"/>
      <w:contextualSpacing/>
    </w:pPr>
  </w:style>
  <w:style w:type="paragraph" w:styleId="Normlnywebov">
    <w:name w:val="Normal (Web)"/>
    <w:basedOn w:val="Normlny"/>
    <w:uiPriority w:val="99"/>
    <w:semiHidden/>
    <w:unhideWhenUsed/>
    <w:rsid w:val="00524D75"/>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1A3E81"/>
    <w:rPr>
      <w:b/>
      <w:bCs/>
    </w:rPr>
  </w:style>
  <w:style w:type="character" w:styleId="Hypertextovprepojenie">
    <w:name w:val="Hyperlink"/>
    <w:basedOn w:val="Predvolenpsmoodseku"/>
    <w:uiPriority w:val="99"/>
    <w:unhideWhenUsed/>
    <w:rsid w:val="00864A62"/>
    <w:rPr>
      <w:color w:val="0000FF" w:themeColor="hyperlink"/>
      <w:u w:val="single"/>
    </w:rPr>
  </w:style>
  <w:style w:type="paragraph" w:styleId="Zarkazkladnhotextu">
    <w:name w:val="Body Text Indent"/>
    <w:basedOn w:val="Normlny"/>
    <w:link w:val="ZarkazkladnhotextuChar"/>
    <w:uiPriority w:val="99"/>
    <w:unhideWhenUsed/>
    <w:rsid w:val="005069E7"/>
    <w:pPr>
      <w:spacing w:after="120"/>
      <w:ind w:left="283"/>
    </w:pPr>
  </w:style>
  <w:style w:type="character" w:customStyle="1" w:styleId="ZarkazkladnhotextuChar">
    <w:name w:val="Zarážka základného textu Char"/>
    <w:basedOn w:val="Predvolenpsmoodseku"/>
    <w:link w:val="Zarkazkladnhotextu"/>
    <w:uiPriority w:val="99"/>
    <w:rsid w:val="005069E7"/>
  </w:style>
  <w:style w:type="paragraph" w:styleId="Bezriadkovania">
    <w:name w:val="No Spacing"/>
    <w:uiPriority w:val="99"/>
    <w:qFormat/>
    <w:rsid w:val="005069E7"/>
    <w:pPr>
      <w:spacing w:after="0" w:line="240" w:lineRule="auto"/>
    </w:pPr>
    <w:rPr>
      <w:rFonts w:ascii="Calibri" w:eastAsia="Calibri" w:hAnsi="Calibri" w:cs="Times New Roman"/>
    </w:rPr>
  </w:style>
  <w:style w:type="paragraph" w:styleId="Zkladntext3">
    <w:name w:val="Body Text 3"/>
    <w:basedOn w:val="Normlny"/>
    <w:link w:val="Zkladntext3Char"/>
    <w:semiHidden/>
    <w:unhideWhenUsed/>
    <w:rsid w:val="00B27340"/>
    <w:pPr>
      <w:spacing w:after="120"/>
    </w:pPr>
    <w:rPr>
      <w:sz w:val="16"/>
      <w:szCs w:val="16"/>
    </w:rPr>
  </w:style>
  <w:style w:type="character" w:customStyle="1" w:styleId="Zkladntext3Char">
    <w:name w:val="Základný text 3 Char"/>
    <w:basedOn w:val="Predvolenpsmoodseku"/>
    <w:link w:val="Zkladntext3"/>
    <w:semiHidden/>
    <w:rsid w:val="00B27340"/>
    <w:rPr>
      <w:sz w:val="16"/>
      <w:szCs w:val="16"/>
    </w:rPr>
  </w:style>
  <w:style w:type="table" w:styleId="Mriekatabuky">
    <w:name w:val="Table Grid"/>
    <w:basedOn w:val="Normlnatabuka"/>
    <w:uiPriority w:val="59"/>
    <w:rsid w:val="00B27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jedna">
    <w:name w:val="nadpis jedna"/>
    <w:basedOn w:val="Normlny"/>
    <w:qFormat/>
    <w:rsid w:val="00B27340"/>
    <w:pPr>
      <w:numPr>
        <w:numId w:val="8"/>
      </w:numPr>
      <w:tabs>
        <w:tab w:val="left" w:pos="284"/>
      </w:tabs>
      <w:spacing w:before="240" w:after="0" w:line="240" w:lineRule="auto"/>
      <w:jc w:val="both"/>
    </w:pPr>
    <w:rPr>
      <w:rFonts w:ascii="Arial" w:eastAsia="Times New Roman" w:hAnsi="Arial" w:cs="Arial"/>
      <w:b/>
      <w:bCs/>
      <w:sz w:val="24"/>
      <w:szCs w:val="24"/>
      <w:lang w:eastAsia="sk-SK"/>
    </w:rPr>
  </w:style>
  <w:style w:type="paragraph" w:styleId="Zkladntext2">
    <w:name w:val="Body Text 2"/>
    <w:basedOn w:val="Normlny"/>
    <w:link w:val="Zkladntext2Char"/>
    <w:uiPriority w:val="99"/>
    <w:unhideWhenUsed/>
    <w:rsid w:val="00B27340"/>
    <w:pPr>
      <w:spacing w:after="120" w:line="480" w:lineRule="auto"/>
      <w:jc w:val="both"/>
    </w:pPr>
    <w:rPr>
      <w:rFonts w:ascii="Times New Roman" w:hAnsi="Times New Roman"/>
      <w:sz w:val="24"/>
    </w:rPr>
  </w:style>
  <w:style w:type="character" w:customStyle="1" w:styleId="Zkladntext2Char">
    <w:name w:val="Základný text 2 Char"/>
    <w:basedOn w:val="Predvolenpsmoodseku"/>
    <w:link w:val="Zkladntext2"/>
    <w:uiPriority w:val="99"/>
    <w:rsid w:val="00B27340"/>
    <w:rPr>
      <w:rFonts w:ascii="Times New Roman" w:hAnsi="Times New Roman"/>
      <w:sz w:val="24"/>
    </w:rPr>
  </w:style>
  <w:style w:type="paragraph" w:styleId="Hlavikaobsahu">
    <w:name w:val="TOC Heading"/>
    <w:basedOn w:val="Nadpis1"/>
    <w:next w:val="Normlny"/>
    <w:uiPriority w:val="39"/>
    <w:unhideWhenUsed/>
    <w:qFormat/>
    <w:rsid w:val="00B27340"/>
    <w:pPr>
      <w:keepLines/>
      <w:spacing w:before="240" w:after="120" w:line="259" w:lineRule="auto"/>
      <w:ind w:left="431" w:hanging="431"/>
      <w:jc w:val="both"/>
      <w:outlineLvl w:val="9"/>
    </w:pPr>
    <w:rPr>
      <w:rFonts w:eastAsiaTheme="majorEastAsia" w:cstheme="majorBidi"/>
      <w:sz w:val="24"/>
      <w:szCs w:val="32"/>
    </w:rPr>
  </w:style>
  <w:style w:type="paragraph" w:styleId="Obsah2">
    <w:name w:val="toc 2"/>
    <w:basedOn w:val="Normlny"/>
    <w:next w:val="Normlny"/>
    <w:autoRedefine/>
    <w:uiPriority w:val="39"/>
    <w:unhideWhenUsed/>
    <w:rsid w:val="00B27340"/>
    <w:pPr>
      <w:tabs>
        <w:tab w:val="left" w:pos="993"/>
        <w:tab w:val="right" w:leader="dot" w:pos="9062"/>
      </w:tabs>
      <w:spacing w:after="120" w:line="259" w:lineRule="auto"/>
      <w:ind w:left="992" w:hanging="425"/>
      <w:jc w:val="both"/>
    </w:pPr>
    <w:rPr>
      <w:rFonts w:ascii="Arial" w:eastAsiaTheme="minorEastAsia" w:hAnsi="Arial" w:cs="Arial"/>
      <w:noProof/>
      <w:sz w:val="24"/>
      <w:lang w:eastAsia="sk-SK"/>
    </w:rPr>
  </w:style>
  <w:style w:type="paragraph" w:styleId="Obsah1">
    <w:name w:val="toc 1"/>
    <w:basedOn w:val="Normlny"/>
    <w:next w:val="Normlny"/>
    <w:autoRedefine/>
    <w:uiPriority w:val="39"/>
    <w:unhideWhenUsed/>
    <w:rsid w:val="00B27340"/>
    <w:pPr>
      <w:tabs>
        <w:tab w:val="left" w:pos="440"/>
        <w:tab w:val="right" w:leader="dot" w:pos="9062"/>
      </w:tabs>
      <w:spacing w:after="0" w:line="360" w:lineRule="auto"/>
      <w:ind w:left="425" w:hanging="425"/>
      <w:contextualSpacing/>
      <w:jc w:val="both"/>
    </w:pPr>
    <w:rPr>
      <w:rFonts w:ascii="Arial" w:eastAsiaTheme="minorEastAsia" w:hAnsi="Arial" w:cs="Arial"/>
      <w:b/>
      <w:noProof/>
      <w:sz w:val="24"/>
      <w:lang w:eastAsia="sk-SK"/>
    </w:rPr>
  </w:style>
  <w:style w:type="paragraph" w:styleId="Obsah3">
    <w:name w:val="toc 3"/>
    <w:basedOn w:val="Normlny"/>
    <w:next w:val="Normlny"/>
    <w:autoRedefine/>
    <w:uiPriority w:val="39"/>
    <w:unhideWhenUsed/>
    <w:rsid w:val="00B27340"/>
    <w:pPr>
      <w:spacing w:after="100" w:line="259" w:lineRule="auto"/>
      <w:ind w:left="440"/>
      <w:jc w:val="both"/>
    </w:pPr>
    <w:rPr>
      <w:rFonts w:ascii="Times New Roman" w:eastAsiaTheme="minorEastAsia" w:hAnsi="Times New Roman" w:cs="Times New Roman"/>
      <w:sz w:val="24"/>
      <w:lang w:eastAsia="sk-SK"/>
    </w:rPr>
  </w:style>
  <w:style w:type="paragraph" w:customStyle="1" w:styleId="nadpisdva">
    <w:name w:val="nadpis dva"/>
    <w:basedOn w:val="Normlny"/>
    <w:qFormat/>
    <w:rsid w:val="00B27340"/>
    <w:pPr>
      <w:tabs>
        <w:tab w:val="left" w:pos="567"/>
      </w:tabs>
      <w:spacing w:after="0" w:line="240" w:lineRule="auto"/>
      <w:ind w:left="1429" w:hanging="720"/>
      <w:jc w:val="both"/>
    </w:pPr>
    <w:rPr>
      <w:rFonts w:ascii="Arial" w:eastAsia="Times New Roman" w:hAnsi="Arial" w:cs="Times New Roman"/>
      <w:b/>
      <w:sz w:val="24"/>
      <w:szCs w:val="24"/>
      <w:lang w:eastAsia="sk-SK"/>
    </w:rPr>
  </w:style>
  <w:style w:type="character" w:customStyle="1" w:styleId="z-HornokrajformulraChar">
    <w:name w:val="z-Horný okraj formulára Char"/>
    <w:basedOn w:val="Predvolenpsmoodseku"/>
    <w:link w:val="z-Hornokrajformulra"/>
    <w:uiPriority w:val="99"/>
    <w:semiHidden/>
    <w:rsid w:val="00B27340"/>
    <w:rPr>
      <w:rFonts w:ascii="Arial" w:eastAsia="Times New Roman" w:hAnsi="Arial" w:cs="Arial"/>
      <w:vanish/>
      <w:sz w:val="16"/>
      <w:szCs w:val="16"/>
      <w:lang w:eastAsia="sk-SK"/>
    </w:rPr>
  </w:style>
  <w:style w:type="paragraph" w:styleId="z-Hornokrajformulra">
    <w:name w:val="HTML Top of Form"/>
    <w:basedOn w:val="Normlny"/>
    <w:next w:val="Normlny"/>
    <w:link w:val="z-HornokrajformulraChar"/>
    <w:hidden/>
    <w:uiPriority w:val="99"/>
    <w:semiHidden/>
    <w:unhideWhenUsed/>
    <w:rsid w:val="00B27340"/>
    <w:pPr>
      <w:pBdr>
        <w:bottom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SpodnokrajformulraChar">
    <w:name w:val="z-Spodný okraj formulára Char"/>
    <w:basedOn w:val="Predvolenpsmoodseku"/>
    <w:link w:val="z-Spodnokrajformulra"/>
    <w:uiPriority w:val="99"/>
    <w:semiHidden/>
    <w:rsid w:val="00B27340"/>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semiHidden/>
    <w:unhideWhenUsed/>
    <w:rsid w:val="00B27340"/>
    <w:pPr>
      <w:pBdr>
        <w:top w:val="single" w:sz="6" w:space="1" w:color="auto"/>
      </w:pBdr>
      <w:spacing w:after="0" w:line="240" w:lineRule="auto"/>
      <w:jc w:val="center"/>
    </w:pPr>
    <w:rPr>
      <w:rFonts w:ascii="Arial" w:eastAsia="Times New Roman" w:hAnsi="Arial" w:cs="Arial"/>
      <w:vanish/>
      <w:sz w:val="16"/>
      <w:szCs w:val="16"/>
      <w:lang w:eastAsia="sk-SK"/>
    </w:rPr>
  </w:style>
  <w:style w:type="paragraph" w:customStyle="1" w:styleId="normal1">
    <w:name w:val="normal_1"/>
    <w:basedOn w:val="Normlny"/>
    <w:rsid w:val="00B27340"/>
    <w:pPr>
      <w:spacing w:before="120" w:after="120" w:line="240" w:lineRule="auto"/>
      <w:ind w:firstLine="567"/>
      <w:jc w:val="both"/>
    </w:pPr>
    <w:rPr>
      <w:rFonts w:ascii="Arial" w:eastAsia="Times New Roman" w:hAnsi="Arial" w:cs="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uiPriority w:val="9"/>
    <w:qFormat/>
    <w:rsid w:val="00E479CA"/>
    <w:pPr>
      <w:keepNext/>
      <w:spacing w:after="0" w:line="240" w:lineRule="auto"/>
      <w:jc w:val="center"/>
      <w:outlineLvl w:val="0"/>
    </w:pPr>
    <w:rPr>
      <w:rFonts w:ascii="Times New Roman" w:eastAsia="Times New Roman" w:hAnsi="Times New Roman" w:cs="Times New Roman"/>
      <w:b/>
      <w:sz w:val="28"/>
      <w:szCs w:val="20"/>
      <w:lang w:eastAsia="sk-SK"/>
    </w:rPr>
  </w:style>
  <w:style w:type="paragraph" w:styleId="Nadpis2">
    <w:name w:val="heading 2"/>
    <w:basedOn w:val="Normlny"/>
    <w:next w:val="Normlny"/>
    <w:link w:val="Nadpis2Char"/>
    <w:uiPriority w:val="9"/>
    <w:unhideWhenUsed/>
    <w:qFormat/>
    <w:rsid w:val="001F490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y"/>
    <w:next w:val="Normlny"/>
    <w:link w:val="Nadpis3Char"/>
    <w:uiPriority w:val="9"/>
    <w:semiHidden/>
    <w:unhideWhenUsed/>
    <w:qFormat/>
    <w:rsid w:val="00B27340"/>
    <w:pPr>
      <w:keepNext/>
      <w:keepLines/>
      <w:spacing w:before="40" w:after="0" w:line="259" w:lineRule="auto"/>
      <w:ind w:left="720" w:hanging="720"/>
      <w:jc w:val="both"/>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y"/>
    <w:next w:val="Normlny"/>
    <w:link w:val="Nadpis4Char"/>
    <w:uiPriority w:val="9"/>
    <w:semiHidden/>
    <w:unhideWhenUsed/>
    <w:qFormat/>
    <w:rsid w:val="00B27340"/>
    <w:pPr>
      <w:keepNext/>
      <w:keepLines/>
      <w:spacing w:before="40" w:after="0" w:line="259" w:lineRule="auto"/>
      <w:ind w:left="864" w:hanging="864"/>
      <w:jc w:val="both"/>
      <w:outlineLvl w:val="3"/>
    </w:pPr>
    <w:rPr>
      <w:rFonts w:asciiTheme="majorHAnsi" w:eastAsiaTheme="majorEastAsia" w:hAnsiTheme="majorHAnsi" w:cstheme="majorBidi"/>
      <w:i/>
      <w:iCs/>
      <w:color w:val="365F91" w:themeColor="accent1" w:themeShade="BF"/>
      <w:sz w:val="24"/>
    </w:rPr>
  </w:style>
  <w:style w:type="paragraph" w:styleId="Nadpis5">
    <w:name w:val="heading 5"/>
    <w:basedOn w:val="Normlny"/>
    <w:next w:val="Normlny"/>
    <w:link w:val="Nadpis5Char"/>
    <w:uiPriority w:val="9"/>
    <w:semiHidden/>
    <w:unhideWhenUsed/>
    <w:qFormat/>
    <w:rsid w:val="00B27340"/>
    <w:pPr>
      <w:keepNext/>
      <w:keepLines/>
      <w:spacing w:before="40" w:after="0" w:line="259" w:lineRule="auto"/>
      <w:ind w:left="1008" w:hanging="1008"/>
      <w:jc w:val="both"/>
      <w:outlineLvl w:val="4"/>
    </w:pPr>
    <w:rPr>
      <w:rFonts w:asciiTheme="majorHAnsi" w:eastAsiaTheme="majorEastAsia" w:hAnsiTheme="majorHAnsi" w:cstheme="majorBidi"/>
      <w:color w:val="365F91" w:themeColor="accent1" w:themeShade="BF"/>
      <w:sz w:val="24"/>
    </w:rPr>
  </w:style>
  <w:style w:type="paragraph" w:styleId="Nadpis6">
    <w:name w:val="heading 6"/>
    <w:basedOn w:val="Normlny"/>
    <w:next w:val="Normlny"/>
    <w:link w:val="Nadpis6Char"/>
    <w:uiPriority w:val="9"/>
    <w:semiHidden/>
    <w:unhideWhenUsed/>
    <w:qFormat/>
    <w:rsid w:val="00B27340"/>
    <w:pPr>
      <w:keepNext/>
      <w:keepLines/>
      <w:spacing w:before="40" w:after="0" w:line="259" w:lineRule="auto"/>
      <w:ind w:left="1152" w:hanging="1152"/>
      <w:jc w:val="both"/>
      <w:outlineLvl w:val="5"/>
    </w:pPr>
    <w:rPr>
      <w:rFonts w:asciiTheme="majorHAnsi" w:eastAsiaTheme="majorEastAsia" w:hAnsiTheme="majorHAnsi" w:cstheme="majorBidi"/>
      <w:color w:val="243F60" w:themeColor="accent1" w:themeShade="7F"/>
      <w:sz w:val="24"/>
    </w:rPr>
  </w:style>
  <w:style w:type="paragraph" w:styleId="Nadpis7">
    <w:name w:val="heading 7"/>
    <w:basedOn w:val="Normlny"/>
    <w:next w:val="Normlny"/>
    <w:link w:val="Nadpis7Char"/>
    <w:uiPriority w:val="9"/>
    <w:semiHidden/>
    <w:unhideWhenUsed/>
    <w:qFormat/>
    <w:rsid w:val="00B27340"/>
    <w:pPr>
      <w:keepNext/>
      <w:keepLines/>
      <w:spacing w:before="40" w:after="0" w:line="259" w:lineRule="auto"/>
      <w:ind w:left="1296" w:hanging="1296"/>
      <w:jc w:val="both"/>
      <w:outlineLvl w:val="6"/>
    </w:pPr>
    <w:rPr>
      <w:rFonts w:asciiTheme="majorHAnsi" w:eastAsiaTheme="majorEastAsia" w:hAnsiTheme="majorHAnsi" w:cstheme="majorBidi"/>
      <w:i/>
      <w:iCs/>
      <w:color w:val="243F60" w:themeColor="accent1" w:themeShade="7F"/>
      <w:sz w:val="24"/>
    </w:rPr>
  </w:style>
  <w:style w:type="paragraph" w:styleId="Nadpis8">
    <w:name w:val="heading 8"/>
    <w:basedOn w:val="Normlny"/>
    <w:next w:val="Normlny"/>
    <w:link w:val="Nadpis8Char"/>
    <w:uiPriority w:val="9"/>
    <w:semiHidden/>
    <w:unhideWhenUsed/>
    <w:qFormat/>
    <w:rsid w:val="00B27340"/>
    <w:pPr>
      <w:keepNext/>
      <w:keepLines/>
      <w:spacing w:before="40" w:after="0" w:line="259"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B27340"/>
    <w:pPr>
      <w:keepNext/>
      <w:keepLines/>
      <w:spacing w:before="40" w:after="0" w:line="259"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E479CA"/>
    <w:rPr>
      <w:rFonts w:ascii="Times New Roman" w:eastAsia="Times New Roman" w:hAnsi="Times New Roman" w:cs="Times New Roman"/>
      <w:b/>
      <w:sz w:val="28"/>
      <w:szCs w:val="20"/>
      <w:lang w:eastAsia="sk-SK"/>
    </w:rPr>
  </w:style>
  <w:style w:type="character" w:customStyle="1" w:styleId="Nadpis2Char">
    <w:name w:val="Nadpis 2 Char"/>
    <w:basedOn w:val="Predvolenpsmoodseku"/>
    <w:link w:val="Nadpis2"/>
    <w:uiPriority w:val="9"/>
    <w:rsid w:val="001F4905"/>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Predvolenpsmoodseku"/>
    <w:link w:val="Nadpis3"/>
    <w:uiPriority w:val="9"/>
    <w:semiHidden/>
    <w:rsid w:val="00B27340"/>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Predvolenpsmoodseku"/>
    <w:link w:val="Nadpis4"/>
    <w:uiPriority w:val="9"/>
    <w:semiHidden/>
    <w:rsid w:val="00B27340"/>
    <w:rPr>
      <w:rFonts w:asciiTheme="majorHAnsi" w:eastAsiaTheme="majorEastAsia" w:hAnsiTheme="majorHAnsi" w:cstheme="majorBidi"/>
      <w:i/>
      <w:iCs/>
      <w:color w:val="365F91" w:themeColor="accent1" w:themeShade="BF"/>
      <w:sz w:val="24"/>
    </w:rPr>
  </w:style>
  <w:style w:type="character" w:customStyle="1" w:styleId="Nadpis5Char">
    <w:name w:val="Nadpis 5 Char"/>
    <w:basedOn w:val="Predvolenpsmoodseku"/>
    <w:link w:val="Nadpis5"/>
    <w:uiPriority w:val="9"/>
    <w:semiHidden/>
    <w:rsid w:val="00B27340"/>
    <w:rPr>
      <w:rFonts w:asciiTheme="majorHAnsi" w:eastAsiaTheme="majorEastAsia" w:hAnsiTheme="majorHAnsi" w:cstheme="majorBidi"/>
      <w:color w:val="365F91" w:themeColor="accent1" w:themeShade="BF"/>
      <w:sz w:val="24"/>
    </w:rPr>
  </w:style>
  <w:style w:type="character" w:customStyle="1" w:styleId="Nadpis6Char">
    <w:name w:val="Nadpis 6 Char"/>
    <w:basedOn w:val="Predvolenpsmoodseku"/>
    <w:link w:val="Nadpis6"/>
    <w:uiPriority w:val="9"/>
    <w:semiHidden/>
    <w:rsid w:val="00B27340"/>
    <w:rPr>
      <w:rFonts w:asciiTheme="majorHAnsi" w:eastAsiaTheme="majorEastAsia" w:hAnsiTheme="majorHAnsi" w:cstheme="majorBidi"/>
      <w:color w:val="243F60" w:themeColor="accent1" w:themeShade="7F"/>
      <w:sz w:val="24"/>
    </w:rPr>
  </w:style>
  <w:style w:type="character" w:customStyle="1" w:styleId="Nadpis7Char">
    <w:name w:val="Nadpis 7 Char"/>
    <w:basedOn w:val="Predvolenpsmoodseku"/>
    <w:link w:val="Nadpis7"/>
    <w:uiPriority w:val="9"/>
    <w:semiHidden/>
    <w:rsid w:val="00B27340"/>
    <w:rPr>
      <w:rFonts w:asciiTheme="majorHAnsi" w:eastAsiaTheme="majorEastAsia" w:hAnsiTheme="majorHAnsi" w:cstheme="majorBidi"/>
      <w:i/>
      <w:iCs/>
      <w:color w:val="243F60" w:themeColor="accent1" w:themeShade="7F"/>
      <w:sz w:val="24"/>
    </w:rPr>
  </w:style>
  <w:style w:type="character" w:customStyle="1" w:styleId="Nadpis8Char">
    <w:name w:val="Nadpis 8 Char"/>
    <w:basedOn w:val="Predvolenpsmoodseku"/>
    <w:link w:val="Nadpis8"/>
    <w:uiPriority w:val="9"/>
    <w:semiHidden/>
    <w:rsid w:val="00B27340"/>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B27340"/>
    <w:rPr>
      <w:rFonts w:asciiTheme="majorHAnsi" w:eastAsiaTheme="majorEastAsia" w:hAnsiTheme="majorHAnsi" w:cstheme="majorBidi"/>
      <w:i/>
      <w:iCs/>
      <w:color w:val="272727" w:themeColor="text1" w:themeTint="D8"/>
      <w:sz w:val="21"/>
      <w:szCs w:val="21"/>
    </w:rPr>
  </w:style>
  <w:style w:type="paragraph" w:customStyle="1" w:styleId="Default">
    <w:name w:val="Default"/>
    <w:rsid w:val="007C6D82"/>
    <w:pPr>
      <w:autoSpaceDE w:val="0"/>
      <w:autoSpaceDN w:val="0"/>
      <w:adjustRightInd w:val="0"/>
      <w:spacing w:after="0" w:line="240" w:lineRule="auto"/>
    </w:pPr>
    <w:rPr>
      <w:rFonts w:ascii="Times New Roman" w:hAnsi="Times New Roman" w:cs="Times New Roman"/>
      <w:color w:val="000000"/>
      <w:sz w:val="24"/>
      <w:szCs w:val="24"/>
    </w:rPr>
  </w:style>
  <w:style w:type="paragraph" w:styleId="Textpoznmkypodiarou">
    <w:name w:val="footnote text"/>
    <w:basedOn w:val="Normlny"/>
    <w:link w:val="TextpoznmkypodiarouChar"/>
    <w:semiHidden/>
    <w:unhideWhenUsed/>
    <w:rsid w:val="006158B0"/>
    <w:pPr>
      <w:spacing w:after="0" w:line="240" w:lineRule="auto"/>
    </w:pPr>
    <w:rPr>
      <w:sz w:val="20"/>
      <w:szCs w:val="20"/>
    </w:rPr>
  </w:style>
  <w:style w:type="character" w:customStyle="1" w:styleId="TextpoznmkypodiarouChar">
    <w:name w:val="Text poznámky pod čiarou Char"/>
    <w:basedOn w:val="Predvolenpsmoodseku"/>
    <w:link w:val="Textpoznmkypodiarou"/>
    <w:semiHidden/>
    <w:rsid w:val="006158B0"/>
    <w:rPr>
      <w:sz w:val="20"/>
      <w:szCs w:val="20"/>
    </w:rPr>
  </w:style>
  <w:style w:type="character" w:styleId="Odkaznapoznmkupodiarou">
    <w:name w:val="footnote reference"/>
    <w:basedOn w:val="Predvolenpsmoodseku"/>
    <w:semiHidden/>
    <w:unhideWhenUsed/>
    <w:rsid w:val="006158B0"/>
    <w:rPr>
      <w:vertAlign w:val="superscript"/>
    </w:rPr>
  </w:style>
  <w:style w:type="character" w:styleId="Odkaznakomentr">
    <w:name w:val="annotation reference"/>
    <w:basedOn w:val="Predvolenpsmoodseku"/>
    <w:uiPriority w:val="99"/>
    <w:semiHidden/>
    <w:unhideWhenUsed/>
    <w:rsid w:val="004A44F2"/>
    <w:rPr>
      <w:sz w:val="16"/>
      <w:szCs w:val="16"/>
    </w:rPr>
  </w:style>
  <w:style w:type="paragraph" w:styleId="Textkomentra">
    <w:name w:val="annotation text"/>
    <w:basedOn w:val="Normlny"/>
    <w:link w:val="TextkomentraChar"/>
    <w:uiPriority w:val="99"/>
    <w:unhideWhenUsed/>
    <w:rsid w:val="004A44F2"/>
    <w:pPr>
      <w:spacing w:line="240" w:lineRule="auto"/>
    </w:pPr>
    <w:rPr>
      <w:sz w:val="20"/>
      <w:szCs w:val="20"/>
    </w:rPr>
  </w:style>
  <w:style w:type="character" w:customStyle="1" w:styleId="TextkomentraChar">
    <w:name w:val="Text komentára Char"/>
    <w:basedOn w:val="Predvolenpsmoodseku"/>
    <w:link w:val="Textkomentra"/>
    <w:uiPriority w:val="99"/>
    <w:rsid w:val="004A44F2"/>
    <w:rPr>
      <w:sz w:val="20"/>
      <w:szCs w:val="20"/>
    </w:rPr>
  </w:style>
  <w:style w:type="paragraph" w:styleId="Predmetkomentra">
    <w:name w:val="annotation subject"/>
    <w:basedOn w:val="Textkomentra"/>
    <w:next w:val="Textkomentra"/>
    <w:link w:val="PredmetkomentraChar"/>
    <w:uiPriority w:val="99"/>
    <w:semiHidden/>
    <w:unhideWhenUsed/>
    <w:rsid w:val="004A44F2"/>
    <w:rPr>
      <w:b/>
      <w:bCs/>
    </w:rPr>
  </w:style>
  <w:style w:type="character" w:customStyle="1" w:styleId="PredmetkomentraChar">
    <w:name w:val="Predmet komentára Char"/>
    <w:basedOn w:val="TextkomentraChar"/>
    <w:link w:val="Predmetkomentra"/>
    <w:uiPriority w:val="99"/>
    <w:semiHidden/>
    <w:rsid w:val="004A44F2"/>
    <w:rPr>
      <w:b/>
      <w:bCs/>
      <w:sz w:val="20"/>
      <w:szCs w:val="20"/>
    </w:rPr>
  </w:style>
  <w:style w:type="paragraph" w:styleId="Textbubliny">
    <w:name w:val="Balloon Text"/>
    <w:basedOn w:val="Normlny"/>
    <w:link w:val="TextbublinyChar"/>
    <w:uiPriority w:val="99"/>
    <w:semiHidden/>
    <w:unhideWhenUsed/>
    <w:rsid w:val="004A44F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A44F2"/>
    <w:rPr>
      <w:rFonts w:ascii="Tahoma" w:hAnsi="Tahoma" w:cs="Tahoma"/>
      <w:sz w:val="16"/>
      <w:szCs w:val="16"/>
    </w:rPr>
  </w:style>
  <w:style w:type="paragraph" w:styleId="Hlavika">
    <w:name w:val="header"/>
    <w:basedOn w:val="Normlny"/>
    <w:link w:val="HlavikaChar"/>
    <w:uiPriority w:val="99"/>
    <w:unhideWhenUsed/>
    <w:rsid w:val="000E7A3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E7A39"/>
  </w:style>
  <w:style w:type="paragraph" w:styleId="Pta">
    <w:name w:val="footer"/>
    <w:basedOn w:val="Normlny"/>
    <w:link w:val="PtaChar"/>
    <w:uiPriority w:val="99"/>
    <w:unhideWhenUsed/>
    <w:rsid w:val="000E7A39"/>
    <w:pPr>
      <w:tabs>
        <w:tab w:val="center" w:pos="4536"/>
        <w:tab w:val="right" w:pos="9072"/>
      </w:tabs>
      <w:spacing w:after="0" w:line="240" w:lineRule="auto"/>
    </w:pPr>
  </w:style>
  <w:style w:type="character" w:customStyle="1" w:styleId="PtaChar">
    <w:name w:val="Päta Char"/>
    <w:basedOn w:val="Predvolenpsmoodseku"/>
    <w:link w:val="Pta"/>
    <w:uiPriority w:val="99"/>
    <w:rsid w:val="000E7A39"/>
  </w:style>
  <w:style w:type="paragraph" w:styleId="Nzov">
    <w:name w:val="Title"/>
    <w:basedOn w:val="Normlny"/>
    <w:link w:val="NzovChar"/>
    <w:qFormat/>
    <w:rsid w:val="00E479CA"/>
    <w:pPr>
      <w:spacing w:after="0" w:line="240" w:lineRule="auto"/>
      <w:jc w:val="center"/>
    </w:pPr>
    <w:rPr>
      <w:rFonts w:ascii="Times New Roman" w:eastAsia="Times New Roman" w:hAnsi="Times New Roman" w:cs="Times New Roman"/>
      <w:b/>
      <w:sz w:val="24"/>
      <w:szCs w:val="20"/>
      <w:lang w:eastAsia="sk-SK"/>
    </w:rPr>
  </w:style>
  <w:style w:type="character" w:customStyle="1" w:styleId="NzovChar">
    <w:name w:val="Názov Char"/>
    <w:basedOn w:val="Predvolenpsmoodseku"/>
    <w:link w:val="Nzov"/>
    <w:rsid w:val="00E479CA"/>
    <w:rPr>
      <w:rFonts w:ascii="Times New Roman" w:eastAsia="Times New Roman" w:hAnsi="Times New Roman" w:cs="Times New Roman"/>
      <w:b/>
      <w:sz w:val="24"/>
      <w:szCs w:val="20"/>
      <w:lang w:eastAsia="sk-SK"/>
    </w:rPr>
  </w:style>
  <w:style w:type="paragraph" w:styleId="Zkladntext">
    <w:name w:val="Body Text"/>
    <w:basedOn w:val="Normlny"/>
    <w:link w:val="ZkladntextChar"/>
    <w:uiPriority w:val="99"/>
    <w:rsid w:val="00E479CA"/>
    <w:pPr>
      <w:spacing w:after="0" w:line="240" w:lineRule="auto"/>
    </w:pPr>
    <w:rPr>
      <w:rFonts w:ascii="Times New Roman" w:eastAsia="Times New Roman" w:hAnsi="Times New Roman" w:cs="Times New Roman"/>
      <w:b/>
      <w:sz w:val="24"/>
      <w:szCs w:val="20"/>
      <w:lang w:eastAsia="sk-SK"/>
    </w:rPr>
  </w:style>
  <w:style w:type="character" w:customStyle="1" w:styleId="ZkladntextChar">
    <w:name w:val="Základný text Char"/>
    <w:basedOn w:val="Predvolenpsmoodseku"/>
    <w:link w:val="Zkladntext"/>
    <w:uiPriority w:val="99"/>
    <w:rsid w:val="00E479CA"/>
    <w:rPr>
      <w:rFonts w:ascii="Times New Roman" w:eastAsia="Times New Roman" w:hAnsi="Times New Roman" w:cs="Times New Roman"/>
      <w:b/>
      <w:sz w:val="24"/>
      <w:szCs w:val="20"/>
      <w:lang w:eastAsia="sk-SK"/>
    </w:rPr>
  </w:style>
  <w:style w:type="paragraph" w:customStyle="1" w:styleId="Nzov-M">
    <w:name w:val="Názov-M"/>
    <w:basedOn w:val="Normlny"/>
    <w:next w:val="Normlny"/>
    <w:qFormat/>
    <w:rsid w:val="00DF34E0"/>
    <w:pPr>
      <w:spacing w:after="0" w:line="240" w:lineRule="auto"/>
      <w:jc w:val="center"/>
    </w:pPr>
    <w:rPr>
      <w:rFonts w:ascii="Times New Roman" w:eastAsia="Times New Roman" w:hAnsi="Times New Roman" w:cs="Times New Roman"/>
      <w:b/>
      <w:sz w:val="24"/>
      <w:szCs w:val="24"/>
      <w:lang w:eastAsia="sk-SK"/>
    </w:rPr>
  </w:style>
  <w:style w:type="paragraph" w:styleId="Odsekzoznamu">
    <w:name w:val="List Paragraph"/>
    <w:aliases w:val="Numbering,Zoznam pismenovy"/>
    <w:basedOn w:val="Normlny"/>
    <w:uiPriority w:val="34"/>
    <w:qFormat/>
    <w:rsid w:val="009C6DFE"/>
    <w:pPr>
      <w:ind w:left="720"/>
      <w:contextualSpacing/>
    </w:pPr>
  </w:style>
  <w:style w:type="paragraph" w:styleId="Normlnywebov">
    <w:name w:val="Normal (Web)"/>
    <w:basedOn w:val="Normlny"/>
    <w:uiPriority w:val="99"/>
    <w:semiHidden/>
    <w:unhideWhenUsed/>
    <w:rsid w:val="00524D75"/>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1A3E81"/>
    <w:rPr>
      <w:b/>
      <w:bCs/>
    </w:rPr>
  </w:style>
  <w:style w:type="character" w:styleId="Hypertextovprepojenie">
    <w:name w:val="Hyperlink"/>
    <w:basedOn w:val="Predvolenpsmoodseku"/>
    <w:uiPriority w:val="99"/>
    <w:unhideWhenUsed/>
    <w:rsid w:val="00864A62"/>
    <w:rPr>
      <w:color w:val="0000FF" w:themeColor="hyperlink"/>
      <w:u w:val="single"/>
    </w:rPr>
  </w:style>
  <w:style w:type="paragraph" w:styleId="Zarkazkladnhotextu">
    <w:name w:val="Body Text Indent"/>
    <w:basedOn w:val="Normlny"/>
    <w:link w:val="ZarkazkladnhotextuChar"/>
    <w:uiPriority w:val="99"/>
    <w:unhideWhenUsed/>
    <w:rsid w:val="005069E7"/>
    <w:pPr>
      <w:spacing w:after="120"/>
      <w:ind w:left="283"/>
    </w:pPr>
  </w:style>
  <w:style w:type="character" w:customStyle="1" w:styleId="ZarkazkladnhotextuChar">
    <w:name w:val="Zarážka základného textu Char"/>
    <w:basedOn w:val="Predvolenpsmoodseku"/>
    <w:link w:val="Zarkazkladnhotextu"/>
    <w:uiPriority w:val="99"/>
    <w:rsid w:val="005069E7"/>
  </w:style>
  <w:style w:type="paragraph" w:styleId="Bezriadkovania">
    <w:name w:val="No Spacing"/>
    <w:uiPriority w:val="99"/>
    <w:qFormat/>
    <w:rsid w:val="005069E7"/>
    <w:pPr>
      <w:spacing w:after="0" w:line="240" w:lineRule="auto"/>
    </w:pPr>
    <w:rPr>
      <w:rFonts w:ascii="Calibri" w:eastAsia="Calibri" w:hAnsi="Calibri" w:cs="Times New Roman"/>
    </w:rPr>
  </w:style>
  <w:style w:type="paragraph" w:styleId="Zkladntext3">
    <w:name w:val="Body Text 3"/>
    <w:basedOn w:val="Normlny"/>
    <w:link w:val="Zkladntext3Char"/>
    <w:semiHidden/>
    <w:unhideWhenUsed/>
    <w:rsid w:val="00B27340"/>
    <w:pPr>
      <w:spacing w:after="120"/>
    </w:pPr>
    <w:rPr>
      <w:sz w:val="16"/>
      <w:szCs w:val="16"/>
    </w:rPr>
  </w:style>
  <w:style w:type="character" w:customStyle="1" w:styleId="Zkladntext3Char">
    <w:name w:val="Základný text 3 Char"/>
    <w:basedOn w:val="Predvolenpsmoodseku"/>
    <w:link w:val="Zkladntext3"/>
    <w:semiHidden/>
    <w:rsid w:val="00B27340"/>
    <w:rPr>
      <w:sz w:val="16"/>
      <w:szCs w:val="16"/>
    </w:rPr>
  </w:style>
  <w:style w:type="table" w:styleId="Mriekatabuky">
    <w:name w:val="Table Grid"/>
    <w:basedOn w:val="Normlnatabuka"/>
    <w:uiPriority w:val="59"/>
    <w:rsid w:val="00B27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jedna">
    <w:name w:val="nadpis jedna"/>
    <w:basedOn w:val="Normlny"/>
    <w:qFormat/>
    <w:rsid w:val="00B27340"/>
    <w:pPr>
      <w:numPr>
        <w:numId w:val="8"/>
      </w:numPr>
      <w:tabs>
        <w:tab w:val="left" w:pos="284"/>
      </w:tabs>
      <w:spacing w:before="240" w:after="0" w:line="240" w:lineRule="auto"/>
      <w:jc w:val="both"/>
    </w:pPr>
    <w:rPr>
      <w:rFonts w:ascii="Arial" w:eastAsia="Times New Roman" w:hAnsi="Arial" w:cs="Arial"/>
      <w:b/>
      <w:bCs/>
      <w:sz w:val="24"/>
      <w:szCs w:val="24"/>
      <w:lang w:eastAsia="sk-SK"/>
    </w:rPr>
  </w:style>
  <w:style w:type="paragraph" w:styleId="Zkladntext2">
    <w:name w:val="Body Text 2"/>
    <w:basedOn w:val="Normlny"/>
    <w:link w:val="Zkladntext2Char"/>
    <w:uiPriority w:val="99"/>
    <w:unhideWhenUsed/>
    <w:rsid w:val="00B27340"/>
    <w:pPr>
      <w:spacing w:after="120" w:line="480" w:lineRule="auto"/>
      <w:jc w:val="both"/>
    </w:pPr>
    <w:rPr>
      <w:rFonts w:ascii="Times New Roman" w:hAnsi="Times New Roman"/>
      <w:sz w:val="24"/>
    </w:rPr>
  </w:style>
  <w:style w:type="character" w:customStyle="1" w:styleId="Zkladntext2Char">
    <w:name w:val="Základný text 2 Char"/>
    <w:basedOn w:val="Predvolenpsmoodseku"/>
    <w:link w:val="Zkladntext2"/>
    <w:uiPriority w:val="99"/>
    <w:rsid w:val="00B27340"/>
    <w:rPr>
      <w:rFonts w:ascii="Times New Roman" w:hAnsi="Times New Roman"/>
      <w:sz w:val="24"/>
    </w:rPr>
  </w:style>
  <w:style w:type="paragraph" w:styleId="Hlavikaobsahu">
    <w:name w:val="TOC Heading"/>
    <w:basedOn w:val="Nadpis1"/>
    <w:next w:val="Normlny"/>
    <w:uiPriority w:val="39"/>
    <w:unhideWhenUsed/>
    <w:qFormat/>
    <w:rsid w:val="00B27340"/>
    <w:pPr>
      <w:keepLines/>
      <w:spacing w:before="240" w:after="120" w:line="259" w:lineRule="auto"/>
      <w:ind w:left="431" w:hanging="431"/>
      <w:jc w:val="both"/>
      <w:outlineLvl w:val="9"/>
    </w:pPr>
    <w:rPr>
      <w:rFonts w:eastAsiaTheme="majorEastAsia" w:cstheme="majorBidi"/>
      <w:sz w:val="24"/>
      <w:szCs w:val="32"/>
    </w:rPr>
  </w:style>
  <w:style w:type="paragraph" w:styleId="Obsah2">
    <w:name w:val="toc 2"/>
    <w:basedOn w:val="Normlny"/>
    <w:next w:val="Normlny"/>
    <w:autoRedefine/>
    <w:uiPriority w:val="39"/>
    <w:unhideWhenUsed/>
    <w:rsid w:val="00B27340"/>
    <w:pPr>
      <w:tabs>
        <w:tab w:val="left" w:pos="993"/>
        <w:tab w:val="right" w:leader="dot" w:pos="9062"/>
      </w:tabs>
      <w:spacing w:after="120" w:line="259" w:lineRule="auto"/>
      <w:ind w:left="992" w:hanging="425"/>
      <w:jc w:val="both"/>
    </w:pPr>
    <w:rPr>
      <w:rFonts w:ascii="Arial" w:eastAsiaTheme="minorEastAsia" w:hAnsi="Arial" w:cs="Arial"/>
      <w:noProof/>
      <w:sz w:val="24"/>
      <w:lang w:eastAsia="sk-SK"/>
    </w:rPr>
  </w:style>
  <w:style w:type="paragraph" w:styleId="Obsah1">
    <w:name w:val="toc 1"/>
    <w:basedOn w:val="Normlny"/>
    <w:next w:val="Normlny"/>
    <w:autoRedefine/>
    <w:uiPriority w:val="39"/>
    <w:unhideWhenUsed/>
    <w:rsid w:val="00B27340"/>
    <w:pPr>
      <w:tabs>
        <w:tab w:val="left" w:pos="440"/>
        <w:tab w:val="right" w:leader="dot" w:pos="9062"/>
      </w:tabs>
      <w:spacing w:after="0" w:line="360" w:lineRule="auto"/>
      <w:ind w:left="425" w:hanging="425"/>
      <w:contextualSpacing/>
      <w:jc w:val="both"/>
    </w:pPr>
    <w:rPr>
      <w:rFonts w:ascii="Arial" w:eastAsiaTheme="minorEastAsia" w:hAnsi="Arial" w:cs="Arial"/>
      <w:b/>
      <w:noProof/>
      <w:sz w:val="24"/>
      <w:lang w:eastAsia="sk-SK"/>
    </w:rPr>
  </w:style>
  <w:style w:type="paragraph" w:styleId="Obsah3">
    <w:name w:val="toc 3"/>
    <w:basedOn w:val="Normlny"/>
    <w:next w:val="Normlny"/>
    <w:autoRedefine/>
    <w:uiPriority w:val="39"/>
    <w:unhideWhenUsed/>
    <w:rsid w:val="00B27340"/>
    <w:pPr>
      <w:spacing w:after="100" w:line="259" w:lineRule="auto"/>
      <w:ind w:left="440"/>
      <w:jc w:val="both"/>
    </w:pPr>
    <w:rPr>
      <w:rFonts w:ascii="Times New Roman" w:eastAsiaTheme="minorEastAsia" w:hAnsi="Times New Roman" w:cs="Times New Roman"/>
      <w:sz w:val="24"/>
      <w:lang w:eastAsia="sk-SK"/>
    </w:rPr>
  </w:style>
  <w:style w:type="paragraph" w:customStyle="1" w:styleId="nadpisdva">
    <w:name w:val="nadpis dva"/>
    <w:basedOn w:val="Normlny"/>
    <w:qFormat/>
    <w:rsid w:val="00B27340"/>
    <w:pPr>
      <w:tabs>
        <w:tab w:val="left" w:pos="567"/>
      </w:tabs>
      <w:spacing w:after="0" w:line="240" w:lineRule="auto"/>
      <w:ind w:left="1429" w:hanging="720"/>
      <w:jc w:val="both"/>
    </w:pPr>
    <w:rPr>
      <w:rFonts w:ascii="Arial" w:eastAsia="Times New Roman" w:hAnsi="Arial" w:cs="Times New Roman"/>
      <w:b/>
      <w:sz w:val="24"/>
      <w:szCs w:val="24"/>
      <w:lang w:eastAsia="sk-SK"/>
    </w:rPr>
  </w:style>
  <w:style w:type="character" w:customStyle="1" w:styleId="z-HornokrajformulraChar">
    <w:name w:val="z-Horný okraj formulára Char"/>
    <w:basedOn w:val="Predvolenpsmoodseku"/>
    <w:link w:val="z-Hornokrajformulra"/>
    <w:uiPriority w:val="99"/>
    <w:semiHidden/>
    <w:rsid w:val="00B27340"/>
    <w:rPr>
      <w:rFonts w:ascii="Arial" w:eastAsia="Times New Roman" w:hAnsi="Arial" w:cs="Arial"/>
      <w:vanish/>
      <w:sz w:val="16"/>
      <w:szCs w:val="16"/>
      <w:lang w:eastAsia="sk-SK"/>
    </w:rPr>
  </w:style>
  <w:style w:type="paragraph" w:styleId="z-Hornokrajformulra">
    <w:name w:val="HTML Top of Form"/>
    <w:basedOn w:val="Normlny"/>
    <w:next w:val="Normlny"/>
    <w:link w:val="z-HornokrajformulraChar"/>
    <w:hidden/>
    <w:uiPriority w:val="99"/>
    <w:semiHidden/>
    <w:unhideWhenUsed/>
    <w:rsid w:val="00B27340"/>
    <w:pPr>
      <w:pBdr>
        <w:bottom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SpodnokrajformulraChar">
    <w:name w:val="z-Spodný okraj formulára Char"/>
    <w:basedOn w:val="Predvolenpsmoodseku"/>
    <w:link w:val="z-Spodnokrajformulra"/>
    <w:uiPriority w:val="99"/>
    <w:semiHidden/>
    <w:rsid w:val="00B27340"/>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semiHidden/>
    <w:unhideWhenUsed/>
    <w:rsid w:val="00B27340"/>
    <w:pPr>
      <w:pBdr>
        <w:top w:val="single" w:sz="6" w:space="1" w:color="auto"/>
      </w:pBdr>
      <w:spacing w:after="0" w:line="240" w:lineRule="auto"/>
      <w:jc w:val="center"/>
    </w:pPr>
    <w:rPr>
      <w:rFonts w:ascii="Arial" w:eastAsia="Times New Roman" w:hAnsi="Arial" w:cs="Arial"/>
      <w:vanish/>
      <w:sz w:val="16"/>
      <w:szCs w:val="16"/>
      <w:lang w:eastAsia="sk-SK"/>
    </w:rPr>
  </w:style>
  <w:style w:type="paragraph" w:customStyle="1" w:styleId="normal1">
    <w:name w:val="normal_1"/>
    <w:basedOn w:val="Normlny"/>
    <w:rsid w:val="00B27340"/>
    <w:pPr>
      <w:spacing w:before="120" w:after="120" w:line="240" w:lineRule="auto"/>
      <w:ind w:firstLine="567"/>
      <w:jc w:val="both"/>
    </w:pPr>
    <w:rPr>
      <w:rFonts w:ascii="Arial" w:eastAsia="Times New Roman" w:hAnsi="Arial"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55707">
      <w:bodyDiv w:val="1"/>
      <w:marLeft w:val="0"/>
      <w:marRight w:val="0"/>
      <w:marTop w:val="0"/>
      <w:marBottom w:val="0"/>
      <w:divBdr>
        <w:top w:val="none" w:sz="0" w:space="0" w:color="auto"/>
        <w:left w:val="none" w:sz="0" w:space="0" w:color="auto"/>
        <w:bottom w:val="none" w:sz="0" w:space="0" w:color="auto"/>
        <w:right w:val="none" w:sz="0" w:space="0" w:color="auto"/>
      </w:divBdr>
    </w:div>
    <w:div w:id="869225204">
      <w:bodyDiv w:val="1"/>
      <w:marLeft w:val="0"/>
      <w:marRight w:val="0"/>
      <w:marTop w:val="0"/>
      <w:marBottom w:val="0"/>
      <w:divBdr>
        <w:top w:val="none" w:sz="0" w:space="0" w:color="auto"/>
        <w:left w:val="none" w:sz="0" w:space="0" w:color="auto"/>
        <w:bottom w:val="none" w:sz="0" w:space="0" w:color="auto"/>
        <w:right w:val="none" w:sz="0" w:space="0" w:color="auto"/>
      </w:divBdr>
      <w:divsChild>
        <w:div w:id="1074933514">
          <w:marLeft w:val="0"/>
          <w:marRight w:val="0"/>
          <w:marTop w:val="0"/>
          <w:marBottom w:val="0"/>
          <w:divBdr>
            <w:top w:val="none" w:sz="0" w:space="0" w:color="auto"/>
            <w:left w:val="none" w:sz="0" w:space="0" w:color="auto"/>
            <w:bottom w:val="none" w:sz="0" w:space="0" w:color="auto"/>
            <w:right w:val="none" w:sz="0" w:space="0" w:color="auto"/>
          </w:divBdr>
          <w:divsChild>
            <w:div w:id="1452557935">
              <w:marLeft w:val="0"/>
              <w:marRight w:val="0"/>
              <w:marTop w:val="0"/>
              <w:marBottom w:val="0"/>
              <w:divBdr>
                <w:top w:val="none" w:sz="0" w:space="0" w:color="auto"/>
                <w:left w:val="none" w:sz="0" w:space="0" w:color="auto"/>
                <w:bottom w:val="none" w:sz="0" w:space="0" w:color="auto"/>
                <w:right w:val="none" w:sz="0" w:space="0" w:color="auto"/>
              </w:divBdr>
              <w:divsChild>
                <w:div w:id="737872582">
                  <w:marLeft w:val="0"/>
                  <w:marRight w:val="0"/>
                  <w:marTop w:val="0"/>
                  <w:marBottom w:val="0"/>
                  <w:divBdr>
                    <w:top w:val="none" w:sz="0" w:space="0" w:color="auto"/>
                    <w:left w:val="none" w:sz="0" w:space="0" w:color="auto"/>
                    <w:bottom w:val="none" w:sz="0" w:space="0" w:color="auto"/>
                    <w:right w:val="none" w:sz="0" w:space="0" w:color="auto"/>
                  </w:divBdr>
                  <w:divsChild>
                    <w:div w:id="1311329353">
                      <w:marLeft w:val="225"/>
                      <w:marRight w:val="225"/>
                      <w:marTop w:val="0"/>
                      <w:marBottom w:val="0"/>
                      <w:divBdr>
                        <w:top w:val="none" w:sz="0" w:space="0" w:color="auto"/>
                        <w:left w:val="none" w:sz="0" w:space="0" w:color="auto"/>
                        <w:bottom w:val="none" w:sz="0" w:space="0" w:color="auto"/>
                        <w:right w:val="none" w:sz="0" w:space="0" w:color="auto"/>
                      </w:divBdr>
                      <w:divsChild>
                        <w:div w:id="1032995910">
                          <w:marLeft w:val="0"/>
                          <w:marRight w:val="0"/>
                          <w:marTop w:val="0"/>
                          <w:marBottom w:val="0"/>
                          <w:divBdr>
                            <w:top w:val="none" w:sz="0" w:space="0" w:color="auto"/>
                            <w:left w:val="none" w:sz="0" w:space="0" w:color="auto"/>
                            <w:bottom w:val="none" w:sz="0" w:space="0" w:color="auto"/>
                            <w:right w:val="none" w:sz="0" w:space="0" w:color="auto"/>
                          </w:divBdr>
                          <w:divsChild>
                            <w:div w:id="469178825">
                              <w:marLeft w:val="0"/>
                              <w:marRight w:val="0"/>
                              <w:marTop w:val="0"/>
                              <w:marBottom w:val="0"/>
                              <w:divBdr>
                                <w:top w:val="none" w:sz="0" w:space="0" w:color="auto"/>
                                <w:left w:val="none" w:sz="0" w:space="0" w:color="auto"/>
                                <w:bottom w:val="none" w:sz="0" w:space="0" w:color="auto"/>
                                <w:right w:val="none" w:sz="0" w:space="0" w:color="auto"/>
                              </w:divBdr>
                              <w:divsChild>
                                <w:div w:id="1137407395">
                                  <w:marLeft w:val="0"/>
                                  <w:marRight w:val="0"/>
                                  <w:marTop w:val="0"/>
                                  <w:marBottom w:val="0"/>
                                  <w:divBdr>
                                    <w:top w:val="none" w:sz="0" w:space="0" w:color="auto"/>
                                    <w:left w:val="none" w:sz="0" w:space="0" w:color="auto"/>
                                    <w:bottom w:val="none" w:sz="0" w:space="0" w:color="auto"/>
                                    <w:right w:val="none" w:sz="0" w:space="0" w:color="auto"/>
                                  </w:divBdr>
                                  <w:divsChild>
                                    <w:div w:id="2119907751">
                                      <w:marLeft w:val="0"/>
                                      <w:marRight w:val="0"/>
                                      <w:marTop w:val="0"/>
                                      <w:marBottom w:val="0"/>
                                      <w:divBdr>
                                        <w:top w:val="none" w:sz="0" w:space="0" w:color="auto"/>
                                        <w:left w:val="none" w:sz="0" w:space="0" w:color="auto"/>
                                        <w:bottom w:val="none" w:sz="0" w:space="0" w:color="auto"/>
                                        <w:right w:val="none" w:sz="0" w:space="0" w:color="auto"/>
                                      </w:divBdr>
                                      <w:divsChild>
                                        <w:div w:id="1521705340">
                                          <w:marLeft w:val="0"/>
                                          <w:marRight w:val="0"/>
                                          <w:marTop w:val="0"/>
                                          <w:marBottom w:val="0"/>
                                          <w:divBdr>
                                            <w:top w:val="none" w:sz="0" w:space="0" w:color="auto"/>
                                            <w:left w:val="none" w:sz="0" w:space="0" w:color="auto"/>
                                            <w:bottom w:val="none" w:sz="0" w:space="0" w:color="auto"/>
                                            <w:right w:val="none" w:sz="0" w:space="0" w:color="auto"/>
                                          </w:divBdr>
                                          <w:divsChild>
                                            <w:div w:id="1476070927">
                                              <w:marLeft w:val="0"/>
                                              <w:marRight w:val="0"/>
                                              <w:marTop w:val="0"/>
                                              <w:marBottom w:val="0"/>
                                              <w:divBdr>
                                                <w:top w:val="none" w:sz="0" w:space="0" w:color="auto"/>
                                                <w:left w:val="none" w:sz="0" w:space="0" w:color="auto"/>
                                                <w:bottom w:val="none" w:sz="0" w:space="0" w:color="auto"/>
                                                <w:right w:val="none" w:sz="0" w:space="0" w:color="auto"/>
                                              </w:divBdr>
                                              <w:divsChild>
                                                <w:div w:id="1389957233">
                                                  <w:marLeft w:val="0"/>
                                                  <w:marRight w:val="0"/>
                                                  <w:marTop w:val="0"/>
                                                  <w:marBottom w:val="0"/>
                                                  <w:divBdr>
                                                    <w:top w:val="none" w:sz="0" w:space="0" w:color="auto"/>
                                                    <w:left w:val="none" w:sz="0" w:space="0" w:color="auto"/>
                                                    <w:bottom w:val="none" w:sz="0" w:space="0" w:color="auto"/>
                                                    <w:right w:val="none" w:sz="0" w:space="0" w:color="auto"/>
                                                  </w:divBdr>
                                                  <w:divsChild>
                                                    <w:div w:id="1475830856">
                                                      <w:marLeft w:val="0"/>
                                                      <w:marRight w:val="0"/>
                                                      <w:marTop w:val="0"/>
                                                      <w:marBottom w:val="0"/>
                                                      <w:divBdr>
                                                        <w:top w:val="none" w:sz="0" w:space="0" w:color="auto"/>
                                                        <w:left w:val="none" w:sz="0" w:space="0" w:color="auto"/>
                                                        <w:bottom w:val="none" w:sz="0" w:space="0" w:color="auto"/>
                                                        <w:right w:val="none" w:sz="0" w:space="0" w:color="auto"/>
                                                      </w:divBdr>
                                                      <w:divsChild>
                                                        <w:div w:id="814764880">
                                                          <w:marLeft w:val="0"/>
                                                          <w:marRight w:val="0"/>
                                                          <w:marTop w:val="0"/>
                                                          <w:marBottom w:val="0"/>
                                                          <w:divBdr>
                                                            <w:top w:val="none" w:sz="0" w:space="0" w:color="auto"/>
                                                            <w:left w:val="none" w:sz="0" w:space="0" w:color="auto"/>
                                                            <w:bottom w:val="none" w:sz="0" w:space="0" w:color="auto"/>
                                                            <w:right w:val="none" w:sz="0" w:space="0" w:color="auto"/>
                                                          </w:divBdr>
                                                          <w:divsChild>
                                                            <w:div w:id="1770808772">
                                                              <w:marLeft w:val="0"/>
                                                              <w:marRight w:val="0"/>
                                                              <w:marTop w:val="0"/>
                                                              <w:marBottom w:val="0"/>
                                                              <w:divBdr>
                                                                <w:top w:val="none" w:sz="0" w:space="0" w:color="auto"/>
                                                                <w:left w:val="none" w:sz="0" w:space="0" w:color="auto"/>
                                                                <w:bottom w:val="none" w:sz="0" w:space="0" w:color="auto"/>
                                                                <w:right w:val="none" w:sz="0" w:space="0" w:color="auto"/>
                                                              </w:divBdr>
                                                              <w:divsChild>
                                                                <w:div w:id="100031634">
                                                                  <w:marLeft w:val="0"/>
                                                                  <w:marRight w:val="0"/>
                                                                  <w:marTop w:val="0"/>
                                                                  <w:marBottom w:val="0"/>
                                                                  <w:divBdr>
                                                                    <w:top w:val="none" w:sz="0" w:space="0" w:color="auto"/>
                                                                    <w:left w:val="none" w:sz="0" w:space="0" w:color="auto"/>
                                                                    <w:bottom w:val="none" w:sz="0" w:space="0" w:color="auto"/>
                                                                    <w:right w:val="none" w:sz="0" w:space="0" w:color="auto"/>
                                                                  </w:divBdr>
                                                                  <w:divsChild>
                                                                    <w:div w:id="868375041">
                                                                      <w:marLeft w:val="0"/>
                                                                      <w:marRight w:val="0"/>
                                                                      <w:marTop w:val="0"/>
                                                                      <w:marBottom w:val="0"/>
                                                                      <w:divBdr>
                                                                        <w:top w:val="none" w:sz="0" w:space="0" w:color="auto"/>
                                                                        <w:left w:val="none" w:sz="0" w:space="0" w:color="auto"/>
                                                                        <w:bottom w:val="none" w:sz="0" w:space="0" w:color="auto"/>
                                                                        <w:right w:val="none" w:sz="0" w:space="0" w:color="auto"/>
                                                                      </w:divBdr>
                                                                      <w:divsChild>
                                                                        <w:div w:id="564461793">
                                                                          <w:marLeft w:val="0"/>
                                                                          <w:marRight w:val="0"/>
                                                                          <w:marTop w:val="0"/>
                                                                          <w:marBottom w:val="0"/>
                                                                          <w:divBdr>
                                                                            <w:top w:val="none" w:sz="0" w:space="0" w:color="auto"/>
                                                                            <w:left w:val="none" w:sz="0" w:space="0" w:color="auto"/>
                                                                            <w:bottom w:val="none" w:sz="0" w:space="0" w:color="auto"/>
                                                                            <w:right w:val="none" w:sz="0" w:space="0" w:color="auto"/>
                                                                          </w:divBdr>
                                                                          <w:divsChild>
                                                                            <w:div w:id="1270310362">
                                                                              <w:marLeft w:val="0"/>
                                                                              <w:marRight w:val="0"/>
                                                                              <w:marTop w:val="0"/>
                                                                              <w:marBottom w:val="0"/>
                                                                              <w:divBdr>
                                                                                <w:top w:val="none" w:sz="0" w:space="0" w:color="auto"/>
                                                                                <w:left w:val="none" w:sz="0" w:space="0" w:color="auto"/>
                                                                                <w:bottom w:val="none" w:sz="0" w:space="0" w:color="auto"/>
                                                                                <w:right w:val="none" w:sz="0" w:space="0" w:color="auto"/>
                                                                              </w:divBdr>
                                                                              <w:divsChild>
                                                                                <w:div w:id="1798909006">
                                                                                  <w:marLeft w:val="0"/>
                                                                                  <w:marRight w:val="0"/>
                                                                                  <w:marTop w:val="0"/>
                                                                                  <w:marBottom w:val="0"/>
                                                                                  <w:divBdr>
                                                                                    <w:top w:val="none" w:sz="0" w:space="0" w:color="auto"/>
                                                                                    <w:left w:val="none" w:sz="0" w:space="0" w:color="auto"/>
                                                                                    <w:bottom w:val="none" w:sz="0" w:space="0" w:color="auto"/>
                                                                                    <w:right w:val="none" w:sz="0" w:space="0" w:color="auto"/>
                                                                                  </w:divBdr>
                                                                                  <w:divsChild>
                                                                                    <w:div w:id="504713498">
                                                                                      <w:marLeft w:val="0"/>
                                                                                      <w:marRight w:val="0"/>
                                                                                      <w:marTop w:val="0"/>
                                                                                      <w:marBottom w:val="0"/>
                                                                                      <w:divBdr>
                                                                                        <w:top w:val="none" w:sz="0" w:space="0" w:color="auto"/>
                                                                                        <w:left w:val="none" w:sz="0" w:space="0" w:color="auto"/>
                                                                                        <w:bottom w:val="none" w:sz="0" w:space="0" w:color="auto"/>
                                                                                        <w:right w:val="none" w:sz="0" w:space="0" w:color="auto"/>
                                                                                      </w:divBdr>
                                                                                      <w:divsChild>
                                                                                        <w:div w:id="1927764922">
                                                                                          <w:marLeft w:val="120"/>
                                                                                          <w:marRight w:val="135"/>
                                                                                          <w:marTop w:val="150"/>
                                                                                          <w:marBottom w:val="150"/>
                                                                                          <w:divBdr>
                                                                                            <w:top w:val="none" w:sz="0" w:space="0" w:color="auto"/>
                                                                                            <w:left w:val="none" w:sz="0" w:space="0" w:color="auto"/>
                                                                                            <w:bottom w:val="none" w:sz="0" w:space="0" w:color="auto"/>
                                                                                            <w:right w:val="none" w:sz="0" w:space="0" w:color="auto"/>
                                                                                          </w:divBdr>
                                                                                          <w:divsChild>
                                                                                            <w:div w:id="2133354206">
                                                                                              <w:marLeft w:val="0"/>
                                                                                              <w:marRight w:val="0"/>
                                                                                              <w:marTop w:val="0"/>
                                                                                              <w:marBottom w:val="0"/>
                                                                                              <w:divBdr>
                                                                                                <w:top w:val="none" w:sz="0" w:space="0" w:color="auto"/>
                                                                                                <w:left w:val="none" w:sz="0" w:space="0" w:color="auto"/>
                                                                                                <w:bottom w:val="none" w:sz="0" w:space="0" w:color="auto"/>
                                                                                                <w:right w:val="none" w:sz="0" w:space="0" w:color="auto"/>
                                                                                              </w:divBdr>
                                                                                              <w:divsChild>
                                                                                                <w:div w:id="870262466">
                                                                                                  <w:marLeft w:val="0"/>
                                                                                                  <w:marRight w:val="0"/>
                                                                                                  <w:marTop w:val="0"/>
                                                                                                  <w:marBottom w:val="0"/>
                                                                                                  <w:divBdr>
                                                                                                    <w:top w:val="none" w:sz="0" w:space="0" w:color="auto"/>
                                                                                                    <w:left w:val="none" w:sz="0" w:space="0" w:color="auto"/>
                                                                                                    <w:bottom w:val="none" w:sz="0" w:space="0" w:color="auto"/>
                                                                                                    <w:right w:val="none" w:sz="0" w:space="0" w:color="auto"/>
                                                                                                  </w:divBdr>
                                                                                                  <w:divsChild>
                                                                                                    <w:div w:id="1158501223">
                                                                                                      <w:marLeft w:val="0"/>
                                                                                                      <w:marRight w:val="0"/>
                                                                                                      <w:marTop w:val="0"/>
                                                                                                      <w:marBottom w:val="0"/>
                                                                                                      <w:divBdr>
                                                                                                        <w:top w:val="none" w:sz="0" w:space="0" w:color="auto"/>
                                                                                                        <w:left w:val="none" w:sz="0" w:space="0" w:color="auto"/>
                                                                                                        <w:bottom w:val="none" w:sz="0" w:space="0" w:color="auto"/>
                                                                                                        <w:right w:val="none" w:sz="0" w:space="0" w:color="auto"/>
                                                                                                      </w:divBdr>
                                                                                                      <w:divsChild>
                                                                                                        <w:div w:id="841314921">
                                                                                                          <w:marLeft w:val="0"/>
                                                                                                          <w:marRight w:val="0"/>
                                                                                                          <w:marTop w:val="0"/>
                                                                                                          <w:marBottom w:val="0"/>
                                                                                                          <w:divBdr>
                                                                                                            <w:top w:val="none" w:sz="0" w:space="0" w:color="auto"/>
                                                                                                            <w:left w:val="none" w:sz="0" w:space="0" w:color="auto"/>
                                                                                                            <w:bottom w:val="none" w:sz="0" w:space="0" w:color="auto"/>
                                                                                                            <w:right w:val="none" w:sz="0" w:space="0" w:color="auto"/>
                                                                                                          </w:divBdr>
                                                                                                          <w:divsChild>
                                                                                                            <w:div w:id="328602773">
                                                                                                              <w:marLeft w:val="0"/>
                                                                                                              <w:marRight w:val="0"/>
                                                                                                              <w:marTop w:val="0"/>
                                                                                                              <w:marBottom w:val="0"/>
                                                                                                              <w:divBdr>
                                                                                                                <w:top w:val="none" w:sz="0" w:space="0" w:color="auto"/>
                                                                                                                <w:left w:val="none" w:sz="0" w:space="0" w:color="auto"/>
                                                                                                                <w:bottom w:val="none" w:sz="0" w:space="0" w:color="auto"/>
                                                                                                                <w:right w:val="none" w:sz="0" w:space="0" w:color="auto"/>
                                                                                                              </w:divBdr>
                                                                                                              <w:divsChild>
                                                                                                                <w:div w:id="93744620">
                                                                                                                  <w:marLeft w:val="0"/>
                                                                                                                  <w:marRight w:val="0"/>
                                                                                                                  <w:marTop w:val="0"/>
                                                                                                                  <w:marBottom w:val="0"/>
                                                                                                                  <w:divBdr>
                                                                                                                    <w:top w:val="none" w:sz="0" w:space="0" w:color="auto"/>
                                                                                                                    <w:left w:val="none" w:sz="0" w:space="0" w:color="auto"/>
                                                                                                                    <w:bottom w:val="none" w:sz="0" w:space="0" w:color="auto"/>
                                                                                                                    <w:right w:val="none" w:sz="0" w:space="0" w:color="auto"/>
                                                                                                                  </w:divBdr>
                                                                                                                  <w:divsChild>
                                                                                                                    <w:div w:id="139467674">
                                                                                                                      <w:marLeft w:val="0"/>
                                                                                                                      <w:marRight w:val="0"/>
                                                                                                                      <w:marTop w:val="0"/>
                                                                                                                      <w:marBottom w:val="0"/>
                                                                                                                      <w:divBdr>
                                                                                                                        <w:top w:val="none" w:sz="0" w:space="0" w:color="auto"/>
                                                                                                                        <w:left w:val="none" w:sz="0" w:space="0" w:color="auto"/>
                                                                                                                        <w:bottom w:val="none" w:sz="0" w:space="0" w:color="auto"/>
                                                                                                                        <w:right w:val="none" w:sz="0" w:space="0" w:color="auto"/>
                                                                                                                      </w:divBdr>
                                                                                                                      <w:divsChild>
                                                                                                                        <w:div w:id="9476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731699">
      <w:bodyDiv w:val="1"/>
      <w:marLeft w:val="0"/>
      <w:marRight w:val="0"/>
      <w:marTop w:val="0"/>
      <w:marBottom w:val="0"/>
      <w:divBdr>
        <w:top w:val="none" w:sz="0" w:space="0" w:color="auto"/>
        <w:left w:val="none" w:sz="0" w:space="0" w:color="auto"/>
        <w:bottom w:val="none" w:sz="0" w:space="0" w:color="auto"/>
        <w:right w:val="none" w:sz="0" w:space="0" w:color="auto"/>
      </w:divBdr>
      <w:divsChild>
        <w:div w:id="170996064">
          <w:marLeft w:val="-225"/>
          <w:marRight w:val="-225"/>
          <w:marTop w:val="0"/>
          <w:marBottom w:val="0"/>
          <w:divBdr>
            <w:top w:val="none" w:sz="0" w:space="0" w:color="auto"/>
            <w:left w:val="none" w:sz="0" w:space="0" w:color="auto"/>
            <w:bottom w:val="none" w:sz="0" w:space="0" w:color="auto"/>
            <w:right w:val="none" w:sz="0" w:space="0" w:color="auto"/>
          </w:divBdr>
        </w:div>
      </w:divsChild>
    </w:div>
    <w:div w:id="1080102267">
      <w:bodyDiv w:val="1"/>
      <w:marLeft w:val="0"/>
      <w:marRight w:val="0"/>
      <w:marTop w:val="0"/>
      <w:marBottom w:val="0"/>
      <w:divBdr>
        <w:top w:val="none" w:sz="0" w:space="0" w:color="auto"/>
        <w:left w:val="none" w:sz="0" w:space="0" w:color="auto"/>
        <w:bottom w:val="none" w:sz="0" w:space="0" w:color="auto"/>
        <w:right w:val="none" w:sz="0" w:space="0" w:color="auto"/>
      </w:divBdr>
    </w:div>
    <w:div w:id="1753696766">
      <w:bodyDiv w:val="1"/>
      <w:marLeft w:val="0"/>
      <w:marRight w:val="0"/>
      <w:marTop w:val="0"/>
      <w:marBottom w:val="0"/>
      <w:divBdr>
        <w:top w:val="none" w:sz="0" w:space="0" w:color="auto"/>
        <w:left w:val="none" w:sz="0" w:space="0" w:color="auto"/>
        <w:bottom w:val="none" w:sz="0" w:space="0" w:color="auto"/>
        <w:right w:val="none" w:sz="0" w:space="0" w:color="auto"/>
      </w:divBdr>
    </w:div>
    <w:div w:id="1835023960">
      <w:bodyDiv w:val="1"/>
      <w:marLeft w:val="0"/>
      <w:marRight w:val="0"/>
      <w:marTop w:val="0"/>
      <w:marBottom w:val="0"/>
      <w:divBdr>
        <w:top w:val="none" w:sz="0" w:space="0" w:color="auto"/>
        <w:left w:val="none" w:sz="0" w:space="0" w:color="auto"/>
        <w:bottom w:val="none" w:sz="0" w:space="0" w:color="auto"/>
        <w:right w:val="none" w:sz="0" w:space="0" w:color="auto"/>
      </w:divBdr>
    </w:div>
    <w:div w:id="1835336795">
      <w:bodyDiv w:val="1"/>
      <w:marLeft w:val="0"/>
      <w:marRight w:val="0"/>
      <w:marTop w:val="0"/>
      <w:marBottom w:val="0"/>
      <w:divBdr>
        <w:top w:val="none" w:sz="0" w:space="0" w:color="auto"/>
        <w:left w:val="none" w:sz="0" w:space="0" w:color="auto"/>
        <w:bottom w:val="none" w:sz="0" w:space="0" w:color="auto"/>
        <w:right w:val="none" w:sz="0" w:space="0" w:color="auto"/>
      </w:divBdr>
      <w:divsChild>
        <w:div w:id="299653883">
          <w:marLeft w:val="0"/>
          <w:marRight w:val="0"/>
          <w:marTop w:val="0"/>
          <w:marBottom w:val="0"/>
          <w:divBdr>
            <w:top w:val="none" w:sz="0" w:space="0" w:color="auto"/>
            <w:left w:val="none" w:sz="0" w:space="0" w:color="auto"/>
            <w:bottom w:val="none" w:sz="0" w:space="0" w:color="auto"/>
            <w:right w:val="none" w:sz="0" w:space="0" w:color="auto"/>
          </w:divBdr>
          <w:divsChild>
            <w:div w:id="870266080">
              <w:marLeft w:val="0"/>
              <w:marRight w:val="0"/>
              <w:marTop w:val="0"/>
              <w:marBottom w:val="0"/>
              <w:divBdr>
                <w:top w:val="none" w:sz="0" w:space="0" w:color="auto"/>
                <w:left w:val="none" w:sz="0" w:space="0" w:color="auto"/>
                <w:bottom w:val="none" w:sz="0" w:space="0" w:color="auto"/>
                <w:right w:val="none" w:sz="0" w:space="0" w:color="auto"/>
              </w:divBdr>
              <w:divsChild>
                <w:div w:id="18812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4250">
      <w:bodyDiv w:val="1"/>
      <w:marLeft w:val="0"/>
      <w:marRight w:val="0"/>
      <w:marTop w:val="0"/>
      <w:marBottom w:val="0"/>
      <w:divBdr>
        <w:top w:val="none" w:sz="0" w:space="0" w:color="auto"/>
        <w:left w:val="none" w:sz="0" w:space="0" w:color="auto"/>
        <w:bottom w:val="none" w:sz="0" w:space="0" w:color="auto"/>
        <w:right w:val="none" w:sz="0" w:space="0" w:color="auto"/>
      </w:divBdr>
      <w:divsChild>
        <w:div w:id="1355379303">
          <w:marLeft w:val="-225"/>
          <w:marRight w:val="-225"/>
          <w:marTop w:val="0"/>
          <w:marBottom w:val="0"/>
          <w:divBdr>
            <w:top w:val="none" w:sz="0" w:space="0" w:color="auto"/>
            <w:left w:val="none" w:sz="0" w:space="0" w:color="auto"/>
            <w:bottom w:val="none" w:sz="0" w:space="0" w:color="auto"/>
            <w:right w:val="none" w:sz="0" w:space="0" w:color="auto"/>
          </w:divBdr>
        </w:div>
      </w:divsChild>
    </w:div>
    <w:div w:id="214403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emf"/><Relationship Id="rId34" Type="http://schemas.openxmlformats.org/officeDocument/2006/relationships/image" Target="media/image18.png"/><Relationship Id="rId42" Type="http://schemas.openxmlformats.org/officeDocument/2006/relationships/image" Target="media/image25.emf"/><Relationship Id="rId47" Type="http://schemas.openxmlformats.org/officeDocument/2006/relationships/hyperlink" Target="https://www.mhsr.sk/energetika/medzinarodna-spolupraca/projekty-spolocneho-zaujmu-pci" TargetMode="External"/><Relationship Id="rId50" Type="http://schemas.openxmlformats.org/officeDocument/2006/relationships/image" Target="media/image31.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3.emf"/><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image" Target="media/image16.emf"/><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image" Target="media/image28.png"/><Relationship Id="rId53"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hyperlink" Target="http://www.sepsas.sk/" TargetMode="External"/><Relationship Id="rId49" Type="http://schemas.openxmlformats.org/officeDocument/2006/relationships/image" Target="media/image30.emf"/><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energy-community.org/regionalinitiatives/infrastructure/selection.html" TargetMode="External"/><Relationship Id="rId3" Type="http://schemas.openxmlformats.org/officeDocument/2006/relationships/hyperlink" Target="https://www.mhsr.sk/energetika/urcenie-instalovaneho-vykonu-zariadeni-na-vyrobu-elektriny-z-oze-a-kvet-na-ktore-sa-vztahuje-podpora-pre-rok-2019" TargetMode="External"/><Relationship Id="rId7" Type="http://schemas.openxmlformats.org/officeDocument/2006/relationships/hyperlink" Target="https://www.mhsr.sk/energetika/medzinarodna-spolupraca/projekty-spolocneho-zaujmu-pci" TargetMode="External"/><Relationship Id="rId2" Type="http://schemas.openxmlformats.org/officeDocument/2006/relationships/hyperlink" Target="https://www.sepsas.sk/ProgramRozvoja.asp?kod=338" TargetMode="External"/><Relationship Id="rId1" Type="http://schemas.openxmlformats.org/officeDocument/2006/relationships/hyperlink" Target="https://www.sepsas.sk/Rocenka.asp?kod=496" TargetMode="External"/><Relationship Id="rId6" Type="http://schemas.openxmlformats.org/officeDocument/2006/relationships/hyperlink" Target="https://www.mhsr.sk/energetika/medzinarodna-spolupraca/projekty-spolocneho-zaujmu-pci" TargetMode="External"/><Relationship Id="rId5" Type="http://schemas.openxmlformats.org/officeDocument/2006/relationships/hyperlink" Target="http://tyndp.entsoe.eu/" TargetMode="External"/><Relationship Id="rId10" Type="http://schemas.openxmlformats.org/officeDocument/2006/relationships/hyperlink" Target="https://www.sepsas.sk/Dokumenty/StandKvality/2020/02/Standardy_kvality_2019_podla_Vyhlasky_236_2016.pdf" TargetMode="External"/><Relationship Id="rId4" Type="http://schemas.openxmlformats.org/officeDocument/2006/relationships/hyperlink" Target="http://www.sepsas.sk" TargetMode="External"/><Relationship Id="rId9" Type="http://schemas.openxmlformats.org/officeDocument/2006/relationships/hyperlink" Target="https://www.crz.gov.sk/index.php?ID=4006242&amp;l=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Smernica MH SR pre Technologicke centra s pripomienkami"/>
    <f:field ref="objsubject" par="" edit="true" text=""/>
    <f:field ref="objcreatedby" par="" text="Balúch, Roman, Bc."/>
    <f:field ref="objcreatedat" par="" text="30.4.2019 15:12:58"/>
    <f:field ref="objchangedby" par="" text="Balúch, Roman, Bc."/>
    <f:field ref="objmodifiedat" par="" text="30.4.2019 15:12:58"/>
    <f:field ref="doc_FSCFOLIO_1_1001_FieldDocumentNumber" par="" text=""/>
    <f:field ref="doc_FSCFOLIO_1_1001_FieldSubject" par="" edit="true" text=""/>
    <f:field ref="FSCFOLIO_1_1001_FieldCurrentUser" par="" text="Ing. Lýdia Borbuliaková"/>
    <f:field ref="CCAPRECONFIG_15_1001_Objektname" par="" edit="true" text="Smernica MH SR pre Technologicke centra s pripomienkami"/>
  </f:record>
  <f:display par="" text="...">
    <f:field ref="FSCFOLIO_1_1001_FieldCurrentUser" text="Aktuálny používateľ"/>
    <f:field ref="CCAPRECONFIG_15_1001_Objektname" text="Meno"/>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7336BF39-03EF-4B4B-A6D1-4A700E482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21557</Words>
  <Characters>122875</Characters>
  <Application>Microsoft Office Word</Application>
  <DocSecurity>0</DocSecurity>
  <Lines>1023</Lines>
  <Paragraphs>288</Paragraphs>
  <ScaleCrop>false</ScaleCrop>
  <HeadingPairs>
    <vt:vector size="2" baseType="variant">
      <vt:variant>
        <vt:lpstr>Názov</vt:lpstr>
      </vt:variant>
      <vt:variant>
        <vt:i4>1</vt:i4>
      </vt:variant>
    </vt:vector>
  </HeadingPairs>
  <TitlesOfParts>
    <vt:vector size="1" baseType="lpstr">
      <vt:lpstr/>
    </vt:vector>
  </TitlesOfParts>
  <LinksUpToDate>false</LinksUpToDate>
  <CharactersWithSpaces>144144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2020-07-03T08:16:00Z</dcterms:created>
  <dcterms:modified xsi:type="dcterms:W3CDTF">2020-12-21T13:58:00Z</dcterms:modified>
</cp:coreProperties>
</file>