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  <w:r w:rsidR="00C761E1">
        <w:rPr>
          <w:b/>
          <w:sz w:val="24"/>
        </w:rPr>
        <w:t xml:space="preserve"> </w:t>
      </w:r>
      <w:r w:rsidR="000C0CF1">
        <w:rPr>
          <w:sz w:val="24"/>
        </w:rPr>
        <w:t>10</w:t>
      </w:r>
      <w:r w:rsidR="00C761E1" w:rsidRPr="00C761E1">
        <w:rPr>
          <w:sz w:val="24"/>
        </w:rPr>
        <w:t>/2. polrok 2024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C761E1">
        <w:rPr>
          <w:b/>
          <w:sz w:val="24"/>
        </w:rPr>
        <w:t xml:space="preserve"> </w:t>
      </w:r>
      <w:r w:rsidR="000C0CF1" w:rsidRPr="000C0CF1">
        <w:rPr>
          <w:rFonts w:eastAsia="Calibri"/>
          <w:sz w:val="24"/>
          <w:szCs w:val="24"/>
        </w:rPr>
        <w:t>Zákon č. 513/1991 Zb. Obchodný zákonník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C761E1">
        <w:rPr>
          <w:b/>
          <w:sz w:val="24"/>
        </w:rPr>
        <w:t xml:space="preserve"> </w:t>
      </w:r>
      <w:r w:rsidR="000C0CF1" w:rsidRPr="000C0CF1">
        <w:rPr>
          <w:rFonts w:eastAsia="Calibri"/>
          <w:sz w:val="24"/>
          <w:szCs w:val="24"/>
        </w:rPr>
        <w:t>§ 75 ods. 1 a 4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C761E1" w:rsidRDefault="00C761E1">
      <w:pPr>
        <w:ind w:left="216"/>
        <w:rPr>
          <w:b/>
          <w:sz w:val="24"/>
        </w:rPr>
      </w:pPr>
    </w:p>
    <w:p w:rsidR="000C0CF1" w:rsidRDefault="000C0CF1" w:rsidP="000C0CF1">
      <w:pPr>
        <w:ind w:left="216"/>
        <w:jc w:val="both"/>
        <w:rPr>
          <w:sz w:val="24"/>
        </w:rPr>
      </w:pPr>
      <w:r w:rsidRPr="000C0CF1">
        <w:rPr>
          <w:sz w:val="24"/>
        </w:rPr>
        <w:t>Obchodný zákonník stanovuje, že pri zrušení spoločnosti musí byť na účte notára uschovaná suma 1500 eur ako preddavok na odmenu likvidátora. Notár túto sumu môže vrátiť len likvidátorovi, a to len po výmaze spoločnosti z ORSR.</w:t>
      </w:r>
      <w:r>
        <w:rPr>
          <w:sz w:val="24"/>
        </w:rPr>
        <w:t xml:space="preserve"> </w:t>
      </w:r>
      <w:r w:rsidR="0037324E">
        <w:rPr>
          <w:rFonts w:eastAsia="Calibri"/>
          <w:sz w:val="24"/>
          <w:szCs w:val="24"/>
        </w:rPr>
        <w:t>Legislatíva</w:t>
      </w:r>
      <w:bookmarkStart w:id="0" w:name="_GoBack"/>
      <w:bookmarkEnd w:id="0"/>
      <w:r w:rsidRPr="00D84A9B">
        <w:rPr>
          <w:rFonts w:eastAsia="Calibri"/>
          <w:sz w:val="24"/>
          <w:szCs w:val="24"/>
        </w:rPr>
        <w:t xml:space="preserve"> neumožňuje upustiť od povinnosti zloženia preddavku na likvidáciu v</w:t>
      </w:r>
      <w:r>
        <w:rPr>
          <w:rFonts w:eastAsia="Calibri"/>
          <w:sz w:val="24"/>
          <w:szCs w:val="24"/>
        </w:rPr>
        <w:t> </w:t>
      </w:r>
      <w:r w:rsidRPr="00D84A9B">
        <w:rPr>
          <w:rFonts w:eastAsia="Calibri"/>
          <w:sz w:val="24"/>
          <w:szCs w:val="24"/>
        </w:rPr>
        <w:t>prípade</w:t>
      </w:r>
      <w:r>
        <w:rPr>
          <w:rFonts w:eastAsia="Calibri"/>
          <w:sz w:val="24"/>
          <w:szCs w:val="24"/>
        </w:rPr>
        <w:t>.</w:t>
      </w:r>
    </w:p>
    <w:p w:rsidR="000C0CF1" w:rsidRPr="000C0CF1" w:rsidRDefault="000C0CF1" w:rsidP="000C0CF1">
      <w:pPr>
        <w:ind w:left="216"/>
        <w:jc w:val="both"/>
        <w:rPr>
          <w:sz w:val="24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lastRenderedPageBreak/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 w:rsidP="00C761E1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C761E1" w:rsidRPr="00C761E1" w:rsidRDefault="00C761E1" w:rsidP="00C761E1">
      <w:pPr>
        <w:spacing w:before="1"/>
        <w:ind w:left="216" w:right="220"/>
        <w:rPr>
          <w:rFonts w:ascii="Calibri" w:hAnsi="Calibri"/>
          <w:sz w:val="20"/>
        </w:rPr>
      </w:pPr>
    </w:p>
    <w:p w:rsidR="00FA45D6" w:rsidRPr="000C0CF1" w:rsidRDefault="00EB0FDB" w:rsidP="000C0CF1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Pr="000C0CF1" w:rsidRDefault="00EB0FDB" w:rsidP="000C0CF1">
      <w:pPr>
        <w:pStyle w:val="Zkladntext"/>
        <w:spacing w:before="1"/>
        <w:rPr>
          <w:rFonts w:ascii="Calibri"/>
          <w:sz w:val="27"/>
        </w:rPr>
        <w:sectPr w:rsidR="00FA45D6" w:rsidRPr="000C0CF1">
          <w:footerReference w:type="default" r:id="rId7"/>
          <w:pgSz w:w="11910" w:h="16840"/>
          <w:pgMar w:top="1580" w:right="1200" w:bottom="1200" w:left="1200" w:header="0" w:footer="1000" w:gutter="0"/>
          <w:cols w:space="708"/>
        </w:sect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  <w:p w:rsidR="000C0CF1" w:rsidRDefault="000C0CF1">
                            <w:pPr>
                              <w:pStyle w:val="Zkladntext"/>
                              <w:spacing w:before="16"/>
                              <w:ind w:left="108"/>
                            </w:pPr>
                          </w:p>
                          <w:p w:rsidR="000C0CF1" w:rsidRDefault="000C0CF1">
                            <w:pPr>
                              <w:pStyle w:val="Zkladntext"/>
                              <w:spacing w:before="16"/>
                              <w:ind w:left="108"/>
                            </w:pPr>
                          </w:p>
                          <w:p w:rsidR="000C0CF1" w:rsidRDefault="000C0CF1">
                            <w:pPr>
                              <w:pStyle w:val="Zkladntext"/>
                              <w:spacing w:before="16"/>
                              <w:ind w:left="108"/>
                            </w:pPr>
                          </w:p>
                          <w:p w:rsidR="000C0CF1" w:rsidRDefault="000C0CF1">
                            <w:pPr>
                              <w:pStyle w:val="Zkladntext"/>
                              <w:spacing w:before="16"/>
                              <w:ind w:left="108"/>
                            </w:pPr>
                          </w:p>
                          <w:p w:rsidR="000C0CF1" w:rsidRDefault="000C0CF1">
                            <w:pPr>
                              <w:pStyle w:val="Zkladntext"/>
                              <w:spacing w:before="16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  <w:p w:rsidR="000C0CF1" w:rsidRDefault="000C0CF1">
                      <w:pPr>
                        <w:pStyle w:val="Zkladntext"/>
                        <w:spacing w:before="16"/>
                        <w:ind w:left="108"/>
                      </w:pPr>
                    </w:p>
                    <w:p w:rsidR="000C0CF1" w:rsidRDefault="000C0CF1">
                      <w:pPr>
                        <w:pStyle w:val="Zkladntext"/>
                        <w:spacing w:before="16"/>
                        <w:ind w:left="108"/>
                      </w:pPr>
                    </w:p>
                    <w:p w:rsidR="000C0CF1" w:rsidRDefault="000C0CF1">
                      <w:pPr>
                        <w:pStyle w:val="Zkladntext"/>
                        <w:spacing w:before="16"/>
                        <w:ind w:left="108"/>
                      </w:pPr>
                    </w:p>
                    <w:p w:rsidR="000C0CF1" w:rsidRDefault="000C0CF1">
                      <w:pPr>
                        <w:pStyle w:val="Zkladntext"/>
                        <w:spacing w:before="16"/>
                        <w:ind w:left="108"/>
                      </w:pPr>
                    </w:p>
                    <w:p w:rsidR="000C0CF1" w:rsidRDefault="000C0CF1">
                      <w:pPr>
                        <w:pStyle w:val="Zkladntext"/>
                        <w:spacing w:before="16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hyperlink r:id="rId8" w:history="1">
        <w:r w:rsidR="00C761E1" w:rsidRPr="00AC5F75">
          <w:rPr>
            <w:rStyle w:val="Hypertextovprepojenie"/>
            <w:b/>
            <w:sz w:val="24"/>
            <w:u w:color="0000FF"/>
          </w:rPr>
          <w:t>regina.lapsanska@justice.sk</w:t>
        </w:r>
      </w:hyperlink>
    </w:p>
    <w:p w:rsidR="00FA45D6" w:rsidRDefault="00EB0FDB">
      <w:pPr>
        <w:spacing w:before="38"/>
        <w:ind w:left="216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C761E1">
        <w:rPr>
          <w:b/>
          <w:sz w:val="24"/>
        </w:rPr>
        <w:t>7.11</w:t>
      </w:r>
      <w:r>
        <w:rPr>
          <w:b/>
          <w:sz w:val="24"/>
        </w:rPr>
        <w:t>.2024.</w:t>
      </w:r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81" w:rsidRDefault="00142681">
      <w:r>
        <w:separator/>
      </w:r>
    </w:p>
  </w:endnote>
  <w:endnote w:type="continuationSeparator" w:id="0">
    <w:p w:rsidR="00142681" w:rsidRDefault="0014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24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24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81" w:rsidRDefault="00142681">
      <w:r>
        <w:separator/>
      </w:r>
    </w:p>
  </w:footnote>
  <w:footnote w:type="continuationSeparator" w:id="0">
    <w:p w:rsidR="00142681" w:rsidRDefault="0014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0740C9"/>
    <w:rsid w:val="000C0CF1"/>
    <w:rsid w:val="00142681"/>
    <w:rsid w:val="001F6264"/>
    <w:rsid w:val="0037324E"/>
    <w:rsid w:val="004E096A"/>
    <w:rsid w:val="0054155B"/>
    <w:rsid w:val="006036BF"/>
    <w:rsid w:val="00B03B0E"/>
    <w:rsid w:val="00C761E1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18DE4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7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lapsanska@justice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1435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terms:modified xsi:type="dcterms:W3CDTF">2024-09-30T07:05:00Z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