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NoteHead"/>
      </w:pPr>
      <w:sdt>
        <w:sdtPr>
          <w:alias w:val="Note for - Note for the File"/>
          <w:tag w:val="u7uN5kfMW4zFYuXg0ziI1D-E4pEJMn25qAH87bmWIf9S1"/>
          <w:id w:val="259716745"/>
          <w:dataBinding w:xpath="/Texts/NoteFile" w:storeItemID="{4EF90DE6-88B6-4264-9629-4D8DFDFE87D2}"/>
          <w:text w:multiLine="1"/>
        </w:sdtPr>
        <w:sdtContent>
          <w:r>
            <w:t>EU pre-assessment fiche for IPCEI candidates</w:t>
          </w:r>
          <w:r>
            <w:br/>
          </w:r>
        </w:sdtContent>
      </w:sdt>
      <w:r>
        <w:t xml:space="preserve"> </w:t>
      </w:r>
    </w:p>
    <w:p>
      <w:pPr>
        <w:pStyle w:val="NoteHead"/>
      </w:pPr>
      <w:r>
        <w:t>IPCEI on Innovative nuclear technologies – Supply Chain development, transformation and modernisation of industrial sites</w:t>
      </w:r>
    </w:p>
    <w:p>
      <w:pPr>
        <w:rPr>
          <w:i/>
          <w:iCs/>
        </w:rPr>
      </w:pPr>
      <w:r>
        <w:rPr>
          <w:i/>
          <w:iCs/>
        </w:rPr>
        <w:t xml:space="preserve">The objective of this fiche is to provide a preliminary assessment of whether an industrial policy initiative in a given area (be it a specific technology, value chain or sector) would be a suitable candidate for an IPCEI. </w:t>
      </w:r>
    </w:p>
    <w:p>
      <w:pPr>
        <w:rPr>
          <w:i/>
          <w:iCs/>
        </w:rPr>
      </w:pPr>
      <w:r>
        <w:rPr>
          <w:i/>
          <w:iCs/>
        </w:rPr>
        <w:t xml:space="preserve">The questions aim at ensuring that an industrial strategy initiative by Member States in a given area is warranted, aligns with EU objectives and would meet the eligibility criteria set out in the </w:t>
      </w:r>
      <w:hyperlink r:id="rId15">
        <w:r>
          <w:rPr>
            <w:rStyle w:val="Lienhypertexte"/>
            <w:i/>
            <w:iCs/>
          </w:rPr>
          <w:t>IPCEI Communication</w:t>
        </w:r>
      </w:hyperlink>
      <w:r>
        <w:rPr>
          <w:i/>
          <w:iCs/>
        </w:rPr>
        <w:t xml:space="preserve">. </w:t>
      </w:r>
    </w:p>
    <w:p>
      <w:pPr>
        <w:rPr>
          <w:i/>
          <w:iCs/>
        </w:rPr>
      </w:pPr>
      <w:r>
        <w:rPr>
          <w:i/>
          <w:iCs/>
        </w:rPr>
        <w:t xml:space="preserve">The objective of the fiche is not to come up with a final decision as to whether launching an IPCEI in a given area, but to assess if it would be necessary to conduct more analytical work to design a potential IPCEI.  </w:t>
      </w:r>
    </w:p>
    <w:p>
      <w:pPr>
        <w:rPr>
          <w:b/>
          <w:bCs/>
        </w:rPr>
      </w:pPr>
      <w:bookmarkStart w:id="0" w:name="_Hlk192096128"/>
      <w:r>
        <w:rPr>
          <w:b/>
          <w:bCs/>
        </w:rPr>
        <w:t>General scope of the IPCEI on Innovative nuclear technologies</w:t>
      </w:r>
    </w:p>
    <w:p>
      <w:pPr>
        <w:pBdr>
          <w:top w:val="single" w:sz="4" w:space="1" w:color="auto"/>
          <w:left w:val="single" w:sz="4" w:space="4" w:color="auto"/>
          <w:bottom w:val="single" w:sz="4" w:space="1" w:color="auto"/>
          <w:right w:val="single" w:sz="4" w:space="4" w:color="auto"/>
        </w:pBdr>
        <w:rPr>
          <w:b/>
          <w:bCs/>
        </w:rPr>
      </w:pPr>
      <w:r>
        <w:rPr>
          <w:b/>
          <w:bCs/>
        </w:rPr>
        <w:t xml:space="preserve">The proposed IPCEI on innovative nuclear technologies would aim at enabling Member States to invest into innovative nuclear technologies, such as SMRs/AMRs, fusion technologies, radioisotopes production, along with their enabling activities. These technologies have the potential to address two key societal challenges, namely </w:t>
      </w:r>
      <w:bookmarkStart w:id="1" w:name="_Hlk192146482"/>
      <w:r>
        <w:rPr>
          <w:b/>
          <w:bCs/>
        </w:rPr>
        <w:t>(</w:t>
      </w:r>
      <w:proofErr w:type="spellStart"/>
      <w:r>
        <w:rPr>
          <w:b/>
          <w:bCs/>
        </w:rPr>
        <w:t>i</w:t>
      </w:r>
      <w:proofErr w:type="spellEnd"/>
      <w:r>
        <w:rPr>
          <w:b/>
          <w:bCs/>
        </w:rPr>
        <w:t>) climate neutrality, (ii) strategic autonomy and security of supply and (iii) a better health</w:t>
      </w:r>
      <w:bookmarkEnd w:id="1"/>
      <w:r>
        <w:rPr>
          <w:b/>
          <w:bCs/>
        </w:rPr>
        <w:t xml:space="preserve">. </w:t>
      </w:r>
    </w:p>
    <w:p>
      <w:pPr>
        <w:pBdr>
          <w:top w:val="single" w:sz="4" w:space="1" w:color="auto"/>
          <w:left w:val="single" w:sz="4" w:space="4" w:color="auto"/>
          <w:bottom w:val="single" w:sz="4" w:space="1" w:color="auto"/>
          <w:right w:val="single" w:sz="4" w:space="4" w:color="auto"/>
        </w:pBdr>
        <w:rPr>
          <w:b/>
          <w:bCs/>
        </w:rPr>
      </w:pPr>
      <w:r>
        <w:rPr>
          <w:b/>
          <w:bCs/>
        </w:rPr>
        <w:t>For fission technologies, key activities include SMRs/AMRs but also enabling activities such as innovative fuels, uranium processing, waste management and decommissioning, and supply chain development. Regarding nuclear fusion, the focus extends to enabling technologies such as tritium breeding, high-temperature superconductivity, and advancement in both magnetic and alternative concept as inertial fusion reactor technologies. The non-energy applications activities focus on production of medical radioisotopes aiming for sustainable supply chain in Europe.</w:t>
      </w:r>
    </w:p>
    <w:p>
      <w:pPr>
        <w:pBdr>
          <w:top w:val="single" w:sz="4" w:space="1" w:color="auto"/>
          <w:left w:val="single" w:sz="4" w:space="4" w:color="auto"/>
          <w:bottom w:val="single" w:sz="4" w:space="1" w:color="auto"/>
          <w:right w:val="single" w:sz="4" w:space="4" w:color="auto"/>
        </w:pBdr>
        <w:rPr>
          <w:b/>
          <w:bCs/>
        </w:rPr>
      </w:pPr>
      <w:r>
        <w:rPr>
          <w:b/>
          <w:bCs/>
        </w:rPr>
        <w:t>Based on the feedback received from Member States in the pre-assessment phase, and the definition of the notion of infrastructure shared by DG COMP, the proposed IPCEI on Nuclear technologies would mainly cover R&amp;D&amp;I and FID</w:t>
      </w:r>
      <w:r>
        <w:rPr>
          <w:rStyle w:val="Appelnotedebasdep"/>
          <w:b/>
          <w:bCs/>
        </w:rPr>
        <w:footnoteReference w:id="2"/>
      </w:r>
      <w:r>
        <w:rPr>
          <w:b/>
          <w:bCs/>
        </w:rPr>
        <w:t xml:space="preserve"> projects in line with point 22 to 24 of the IPCEI Communication, and </w:t>
      </w:r>
      <w:r>
        <w:rPr>
          <w:b/>
          <w:bCs/>
          <w:lang w:val="en-US"/>
        </w:rPr>
        <w:t>would address these main societal challenges</w:t>
      </w:r>
      <w:r>
        <w:rPr>
          <w:b/>
          <w:bCs/>
        </w:rPr>
        <w:t>.</w:t>
      </w:r>
    </w:p>
    <w:p>
      <w:pPr>
        <w:pBdr>
          <w:top w:val="single" w:sz="4" w:space="1" w:color="auto"/>
          <w:left w:val="single" w:sz="4" w:space="4" w:color="auto"/>
          <w:bottom w:val="single" w:sz="4" w:space="1" w:color="auto"/>
          <w:right w:val="single" w:sz="4" w:space="4" w:color="auto"/>
        </w:pBdr>
        <w:rPr>
          <w:b/>
          <w:bCs/>
        </w:rPr>
      </w:pPr>
      <w:r>
        <w:rPr>
          <w:b/>
          <w:bCs/>
        </w:rPr>
        <w:t xml:space="preserve">Areas covered by the proposed IPCEI would include SMRs in the short-term, AMRs and nuclear fusion technologies in the medium to long-term. They would also include projects related to the fuel cycle, supply chains, and to the production of radioisotopes for medical purposes as a vital side-benefit of nuclear technologies. </w:t>
      </w:r>
    </w:p>
    <w:p>
      <w:pPr>
        <w:pBdr>
          <w:top w:val="single" w:sz="4" w:space="1" w:color="auto"/>
          <w:left w:val="single" w:sz="4" w:space="4" w:color="auto"/>
          <w:bottom w:val="single" w:sz="4" w:space="1" w:color="auto"/>
          <w:right w:val="single" w:sz="4" w:space="4" w:color="auto"/>
        </w:pBdr>
        <w:rPr>
          <w:b/>
          <w:bCs/>
        </w:rPr>
      </w:pPr>
      <w:r>
        <w:rPr>
          <w:b/>
          <w:bCs/>
        </w:rPr>
        <w:lastRenderedPageBreak/>
        <w:t>The identified work fields include at this stage (</w:t>
      </w:r>
      <w:proofErr w:type="spellStart"/>
      <w:r>
        <w:rPr>
          <w:b/>
          <w:bCs/>
        </w:rPr>
        <w:t>i</w:t>
      </w:r>
      <w:proofErr w:type="spellEnd"/>
      <w:r>
        <w:rPr>
          <w:b/>
          <w:bCs/>
        </w:rPr>
        <w:t xml:space="preserve">) Innovative nuclear power generation (SMR/AMR) and enabling activities, (ii) Uranium Processing and associated fuel Services, Waste management &amp; Decommissioning, (iii) Supply chain development, transformation and modernisation of industrial sites, (iv) Nuclear Fusion technologies, and (v) Production of radioisotopes for medical applications. Further work in the design phase will be needed to demonstrate the combination of both field-specific issues and possible intertwined technical challenges linked to the use of nuclear technologies. </w:t>
      </w:r>
    </w:p>
    <w:p>
      <w:pPr>
        <w:pBdr>
          <w:top w:val="single" w:sz="4" w:space="1" w:color="auto"/>
          <w:left w:val="single" w:sz="4" w:space="4" w:color="auto"/>
          <w:bottom w:val="single" w:sz="4" w:space="1" w:color="auto"/>
          <w:right w:val="single" w:sz="4" w:space="4" w:color="auto"/>
        </w:pBdr>
        <w:rPr>
          <w:b/>
          <w:bCs/>
        </w:rPr>
      </w:pPr>
      <w:r>
        <w:rPr>
          <w:b/>
          <w:bCs/>
        </w:rPr>
        <w:t>As such, such an IPCEI would help in catalysing public and private investments into nuclear innovation and in enhancing the EU's nuclear ecosystem integration.</w:t>
      </w:r>
    </w:p>
    <w:bookmarkEnd w:id="0"/>
    <w:p>
      <w:pPr>
        <w:rPr>
          <w:i/>
          <w:iCs/>
        </w:rPr>
      </w:pPr>
    </w:p>
    <w:tbl>
      <w:tblPr>
        <w:tblStyle w:val="Grilledutableau"/>
        <w:tblW w:w="8594" w:type="dxa"/>
        <w:tblLook w:val="04A0" w:firstRow="1" w:lastRow="0" w:firstColumn="1" w:lastColumn="0" w:noHBand="0" w:noVBand="1"/>
      </w:tblPr>
      <w:tblGrid>
        <w:gridCol w:w="8"/>
        <w:gridCol w:w="8586"/>
      </w:tblGrid>
      <w:tr>
        <w:trPr>
          <w:gridBefore w:val="1"/>
          <w:wBefore w:w="8" w:type="dxa"/>
        </w:trPr>
        <w:tc>
          <w:tcPr>
            <w:tcW w:w="8586" w:type="dxa"/>
            <w:tcBorders>
              <w:bottom w:val="single" w:sz="4" w:space="0" w:color="auto"/>
            </w:tcBorders>
            <w:shd w:val="clear" w:color="auto" w:fill="EDEDED" w:themeFill="accent3" w:themeFillTint="33"/>
          </w:tcPr>
          <w:p>
            <w:pPr>
              <w:pStyle w:val="Titre1"/>
            </w:pPr>
            <w:r>
              <w:t>Overall description of the initiative</w:t>
            </w:r>
          </w:p>
        </w:tc>
      </w:tr>
      <w:tr>
        <w:trPr>
          <w:gridBefore w:val="1"/>
          <w:wBefore w:w="8" w:type="dxa"/>
        </w:trPr>
        <w:tc>
          <w:tcPr>
            <w:tcW w:w="8586" w:type="dxa"/>
            <w:tcBorders>
              <w:top w:val="single" w:sz="4" w:space="0" w:color="auto"/>
              <w:left w:val="single" w:sz="4" w:space="0" w:color="auto"/>
              <w:bottom w:val="single" w:sz="4" w:space="0" w:color="auto"/>
              <w:right w:val="single" w:sz="4" w:space="0" w:color="auto"/>
            </w:tcBorders>
          </w:tcPr>
          <w:p>
            <w:pPr>
              <w:rPr>
                <w:i/>
                <w:iCs/>
              </w:rPr>
            </w:pPr>
            <w:r>
              <w:rPr>
                <w:i/>
                <w:iCs/>
              </w:rPr>
              <w:t xml:space="preserve">Please describe the overall planned area of intervention and the intended possible nature of policy intervention/projects. This could be linked either to specific technology, a value chain or a sector / value chain. </w:t>
            </w:r>
          </w:p>
          <w:p>
            <w:r>
              <w:t>Alongside renewable energies, the nuclear industry plays a key role in providing Europe with low-carbon energy. In 2022, 103 operating nuclear reactors, located in 13 Member States, produced about 24% of the EU electricity production</w:t>
            </w:r>
            <w:r>
              <w:rPr>
                <w:rStyle w:val="Appelnotedebasdep"/>
              </w:rPr>
              <w:footnoteReference w:id="3"/>
            </w:r>
            <w:r>
              <w:t xml:space="preserve">. Two of the main challenges faced by the nuclear industry currently consist of realising new reactors, as many member states have renewed nuclear ambitions and plans for new power plants, and the long-term operation projects of existing capacity that contributes to European climate goals. Considering that the past decade has seen a trend of disinvestment in nuclear energy in Europe – until the energy crisis highlighted its crucial role in the EU’s strategic autonomy – substantial investments will have to be made to support the </w:t>
            </w:r>
            <w:r>
              <w:rPr>
                <w:b/>
                <w:bCs/>
              </w:rPr>
              <w:t xml:space="preserve">development of nuclear supply chains, </w:t>
            </w:r>
            <w:r>
              <w:t>as well as the</w:t>
            </w:r>
            <w:r>
              <w:rPr>
                <w:b/>
                <w:bCs/>
              </w:rPr>
              <w:t xml:space="preserve"> transformation and modernisation of existing industrial sites</w:t>
            </w:r>
            <w:r>
              <w:t>, including coal-to-nuclear transformation where feasible and technology upgrade of existing nuclear facilities. Moreover, advancements in other areas of interest that are strategic for the competitivity and innovation of the EU’s nuclear industry (e.g., innovative fuels, uranium processing, waste management &amp; decommissioning) will rely on robust supply chains and industrial capacities, resulting in a high potential of collaboration that could be fostered through the IPCEI. Across the EU, during the past 30 years, only a few new reactors were constructed, therefore the number of companies and expertise in the nuclear supply chain decreased. In many countries, little companies have the qualification and experience to participate in new build projects, from the production of nuclear components to construction and installation services.</w:t>
            </w:r>
          </w:p>
          <w:p>
            <w:r>
              <w:t xml:space="preserve">The maintenance and construction of nuclear powerplants must rely on a strong network of large organisations, as well as small and medium-sized companies (SMEs), involved at different levels of the value chain. In this context, a wide variety of projects may be supported by the IPCEI, such as the </w:t>
            </w:r>
            <w:r>
              <w:rPr>
                <w:b/>
                <w:bCs/>
              </w:rPr>
              <w:t>manufacturing of nuclear components</w:t>
            </w:r>
            <w:r>
              <w:t xml:space="preserve">, the </w:t>
            </w:r>
            <w:r>
              <w:rPr>
                <w:b/>
                <w:bCs/>
              </w:rPr>
              <w:t>development of innovative technologies</w:t>
            </w:r>
            <w:r>
              <w:t xml:space="preserve"> (including the development of advanced structural materials)</w:t>
            </w:r>
            <w:r>
              <w:rPr>
                <w:b/>
                <w:bCs/>
              </w:rPr>
              <w:t>,</w:t>
            </w:r>
            <w:r>
              <w:t xml:space="preserve"> the</w:t>
            </w:r>
            <w:r>
              <w:rPr>
                <w:b/>
                <w:bCs/>
              </w:rPr>
              <w:t xml:space="preserve"> nuclear digital transformation, </w:t>
            </w:r>
            <w:r>
              <w:t>the</w:t>
            </w:r>
            <w:r>
              <w:rPr>
                <w:b/>
                <w:bCs/>
              </w:rPr>
              <w:t xml:space="preserve"> modernisation of industrial sites </w:t>
            </w:r>
            <w:r>
              <w:t>or actions for</w:t>
            </w:r>
            <w:r>
              <w:rPr>
                <w:b/>
                <w:bCs/>
              </w:rPr>
              <w:t xml:space="preserve"> industrial efficiency</w:t>
            </w:r>
            <w:r>
              <w:t xml:space="preserve">. Large nuclear manufacturers could </w:t>
            </w:r>
            <w:r>
              <w:lastRenderedPageBreak/>
              <w:t>benefit from the IPCEI to support major investment plans shaping the European value chain, while smaller subcontractors which would need less funding, even though they address the industry’s most immediate needs, could be funded as associated partners and still be part and play an active role in the IPCEI ecosystem</w:t>
            </w:r>
            <w:r>
              <w:rPr>
                <w:rStyle w:val="Appelnotedebasdep"/>
              </w:rPr>
              <w:footnoteReference w:id="4"/>
            </w:r>
            <w:r>
              <w:t>.</w:t>
            </w:r>
          </w:p>
        </w:tc>
      </w:tr>
      <w:tr>
        <w:trPr>
          <w:gridBefore w:val="1"/>
          <w:wBefore w:w="8" w:type="dxa"/>
        </w:trPr>
        <w:tc>
          <w:tcPr>
            <w:tcW w:w="8586" w:type="dxa"/>
            <w:tcBorders>
              <w:top w:val="single" w:sz="4" w:space="0" w:color="auto"/>
              <w:left w:val="nil"/>
              <w:bottom w:val="single" w:sz="4" w:space="0" w:color="auto"/>
              <w:right w:val="nil"/>
            </w:tcBorders>
          </w:tcPr>
          <w:p>
            <w:pPr>
              <w:rPr>
                <w:i/>
                <w:iCs/>
              </w:rPr>
            </w:pPr>
          </w:p>
        </w:tc>
      </w:tr>
      <w:tr>
        <w:trPr>
          <w:gridBefore w:val="1"/>
          <w:wBefore w:w="8" w:type="dxa"/>
        </w:trPr>
        <w:tc>
          <w:tcPr>
            <w:tcW w:w="858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pPr>
              <w:pStyle w:val="Titre1"/>
            </w:pPr>
            <w:r>
              <w:t xml:space="preserve">Political and industrial policy objectives </w:t>
            </w:r>
          </w:p>
        </w:tc>
      </w:tr>
      <w:tr>
        <w:trPr>
          <w:gridBefore w:val="1"/>
          <w:wBefore w:w="8" w:type="dxa"/>
        </w:trPr>
        <w:tc>
          <w:tcPr>
            <w:tcW w:w="8586" w:type="dxa"/>
            <w:tcBorders>
              <w:top w:val="single" w:sz="4" w:space="0" w:color="auto"/>
              <w:left w:val="single" w:sz="4" w:space="0" w:color="auto"/>
              <w:bottom w:val="single" w:sz="4" w:space="0" w:color="auto"/>
              <w:right w:val="single" w:sz="4" w:space="0" w:color="auto"/>
            </w:tcBorders>
          </w:tcPr>
          <w:p>
            <w:pPr>
              <w:rPr>
                <w:i/>
                <w:iCs/>
              </w:rPr>
            </w:pPr>
            <w:r>
              <w:rPr>
                <w:i/>
                <w:iCs/>
              </w:rPr>
              <w:t>This section aims at assessing the key policy objectives of the initiative from an economic, industrial and research objectives.</w:t>
            </w:r>
          </w:p>
          <w:p>
            <w:pPr>
              <w:pStyle w:val="Titre2"/>
            </w:pPr>
            <w:r>
              <w:t xml:space="preserve">What is the problem that the initiative aims at solving? What is the “cause” of the intervention and why is it important? </w:t>
            </w:r>
          </w:p>
          <w:p>
            <w:pPr>
              <w:pStyle w:val="Text2"/>
              <w:ind w:left="0"/>
            </w:pPr>
            <w:r>
              <w:t>In order to achieve its transition to a net zero-carbon economy by 2050 as set by the European Green Deal adopted in 2020, the EU will need all low-carbon energy sources by 2050, including nuclear energy. In 2022, 38% of the electricity produced in the EU came from fossil fuels, while nuclear energy accounted for 22%</w:t>
            </w:r>
            <w:r>
              <w:rPr>
                <w:rStyle w:val="Appelnotedebasdep"/>
              </w:rPr>
              <w:footnoteReference w:id="5"/>
            </w:r>
            <w:r>
              <w:t xml:space="preserve">. Nuclear power is a safe, low-carbon, dispatchable, reliable and affordable energy source, that many Member States publicly stated they wish to develop in the years to come (e.g., Bulgaria, Czechia, Finland, France, the Netherlands, Poland, Romania, Slovakia, Slovenia, Sweden), while further ones (like Italy) are currently reconsidering. </w:t>
            </w:r>
          </w:p>
          <w:p>
            <w:pPr>
              <w:pStyle w:val="Text2"/>
              <w:ind w:left="0"/>
              <w:rPr>
                <w:u w:val="single"/>
              </w:rPr>
            </w:pPr>
            <w:r>
              <w:t>While innovative, Small Modular Reactors (SMR) and the Advanced Modular Reactors (AMRs) provide solutions for various localised and industrial applications</w:t>
            </w:r>
            <w:r>
              <w:rPr>
                <w:rStyle w:val="Appelnotedebasdep"/>
              </w:rPr>
              <w:footnoteReference w:id="6"/>
            </w:r>
            <w:r>
              <w:t>, large water-cooled reactors are essential to ensure a sufficient and secure supply of electricity to European networks. However, Europe has been suffering in the last decades from a substantial decrease of new nuclear projects, which contributed to delays and extra-costs of the most recently built NPPs. It is essential, in order to achieve the full potential from nuclear energy to decarbonization, to regain competitiveness and robustness of the European supply chain. It will require investment and modernisation plans to enhance European competitiveness in the nuclear market, to ensure competitive production capacities and processes like ‘series production’ and ‘modular construction’ at sites, and to foster process innovations like the use of digital twins, augmented reality or artificial intelligence. This is crucial to strengthen European autonomy and prevent disruptions in the supply chain by reducing dependencies on third countries for the development of nuclear energy in Europe.</w:t>
            </w:r>
          </w:p>
          <w:p>
            <w:pPr>
              <w:pStyle w:val="Titre2"/>
            </w:pPr>
            <w:r>
              <w:rPr>
                <w:lang w:val="en-IE"/>
              </w:rPr>
              <w:t xml:space="preserve">To what EU policy objectives will the initiative contribute? </w:t>
            </w:r>
            <w:r>
              <w:t>Does it have a significant impact on sustainable growth?</w:t>
            </w:r>
          </w:p>
          <w:p>
            <w:pPr>
              <w:pStyle w:val="Text2"/>
              <w:ind w:left="0"/>
            </w:pPr>
            <w:r>
              <w:t xml:space="preserve">According to the European Green Deal adopted in 2020, the EU should be a net-zero carbon economy by 2050. European Member States will therefore have to complete an ambitious energy transition, to substitute green energy to fossil fuels used by the </w:t>
            </w:r>
            <w:r>
              <w:lastRenderedPageBreak/>
              <w:t xml:space="preserve">industry, but also to support electrification of end-use consumption (e.g., electric cars). At the same time, increasing the EU strategic autonomy implies to secure its energy production diversifying imports. Nuclear energy, as a low-carbon, reliable and dispatchable electricity source, can contribute to these objectives. In addition, nuclear energy can reduce energy costs and thereby contribute to the industrial competitiveness in the EU   </w:t>
            </w:r>
          </w:p>
          <w:p>
            <w:pPr>
              <w:pStyle w:val="Text2"/>
              <w:ind w:left="0"/>
            </w:pPr>
            <w:r>
              <w:t>Developing EU industrial basis in line with the principles and targets set in the Net Zero Industry Act will also need the use of all industries able to contribute to decarbonization. The nuclear industry in Europe ensures 1,1 million jobs in the EU and generates more than half a trillion euros in GDP annually</w:t>
            </w:r>
            <w:r>
              <w:rPr>
                <w:rStyle w:val="Appelnotedebasdep"/>
              </w:rPr>
              <w:footnoteReference w:id="7"/>
            </w:r>
            <w:r>
              <w:t>. These figures could increase with the development of new industrial capacities, thus contributing to EU resilience and economic growth.</w:t>
            </w:r>
          </w:p>
          <w:p>
            <w:pPr>
              <w:pStyle w:val="Text2"/>
              <w:ind w:left="0"/>
            </w:pPr>
            <w:r>
              <w:t>Nuclear energy can serve as a cornerstone for sustainable growth by providing a reliable, low-carbon base load power supply that complements renewable energy sources while aligning with the objectives of the European Commission's Important Projects of Common European Interest (IPCEI). Innovative technologies like Small Modular Reactors (SMRs) and Advanced Modular Reactors (AMRs) exemplify the innovative solutions promoted by the IPCEI framework, offering flexible operation, smaller footprints, and enhanced safety to support grid stability and enable the integration of renewables. Nuclear energy directly contributes to decarbonization goals and addresses key societal challenges by providing near-zero-emission power, enhancing energy security, and reducing reliance on fossil fuel imports. By fostering economic growth through job creation, infrastructure development, and strategic autonomy, nuclear projects align with the IPCEI’s focus on strengthening Europe’s competitiveness and resilience. Furthermore, nuclear initiatives inherently involve cross-border collaboration in technology sharing and supply chain integration, embodying the transnational cooperation emphasized by the IPCEI. With supportive policies and financing mechanisms under the IPCEI framework, nuclear power can drive sustainable development, innovation, and energy security, positioning it as a vital component of the EU’s energy transition. Within this framework, existing European supply chain is a key point for a stronger and more sustainable nuclear industry development.</w:t>
            </w:r>
          </w:p>
          <w:p>
            <w:pPr>
              <w:pStyle w:val="Titre2"/>
            </w:pPr>
            <w:r>
              <w:t>What are the industrial policy challenges to overcome in the area?</w:t>
            </w:r>
          </w:p>
          <w:p>
            <w:pPr>
              <w:pStyle w:val="NormalWeb"/>
              <w:jc w:val="both"/>
              <w:rPr>
                <w:lang w:val="en-GB"/>
              </w:rPr>
            </w:pPr>
            <w:r>
              <w:rPr>
                <w:lang w:val="en-GB"/>
              </w:rPr>
              <w:t>Companies wishing to participate in the nuclear supply chain may face high barriers to entry. Companies already active in the European nuclear supply chain face multiple challenges to meet the demands for maintaining and constructing large reactors, while demands to deploy SMR and AMR in EU is likely expected to increase by 2030s. Among others:</w:t>
            </w:r>
          </w:p>
          <w:p>
            <w:pPr>
              <w:pStyle w:val="NormalWeb"/>
              <w:numPr>
                <w:ilvl w:val="0"/>
                <w:numId w:val="44"/>
              </w:numPr>
              <w:jc w:val="both"/>
              <w:rPr>
                <w:lang w:val="en-GB"/>
              </w:rPr>
            </w:pPr>
            <w:r>
              <w:rPr>
                <w:lang w:val="en-GB"/>
              </w:rPr>
              <w:t>Modularization expected for SMR;</w:t>
            </w:r>
          </w:p>
          <w:p>
            <w:pPr>
              <w:pStyle w:val="NormalWeb"/>
              <w:numPr>
                <w:ilvl w:val="0"/>
                <w:numId w:val="44"/>
              </w:numPr>
              <w:jc w:val="both"/>
              <w:rPr>
                <w:lang w:val="en-GB"/>
              </w:rPr>
            </w:pPr>
            <w:r>
              <w:rPr>
                <w:lang w:val="en-GB"/>
              </w:rPr>
              <w:t>Technological challenges (such as new materials, new construction processes, …) for AMR;</w:t>
            </w:r>
          </w:p>
          <w:p>
            <w:pPr>
              <w:pStyle w:val="NormalWeb"/>
              <w:numPr>
                <w:ilvl w:val="0"/>
                <w:numId w:val="44"/>
              </w:numPr>
              <w:jc w:val="both"/>
              <w:rPr>
                <w:lang w:val="en-GB"/>
              </w:rPr>
            </w:pPr>
            <w:r>
              <w:rPr>
                <w:lang w:val="en-GB"/>
              </w:rPr>
              <w:lastRenderedPageBreak/>
              <w:t>Potential number of construction sites at the same time, up with the pace of reactor refurbishments and constructions.</w:t>
            </w:r>
          </w:p>
          <w:p>
            <w:pPr>
              <w:pStyle w:val="NormalWeb"/>
              <w:jc w:val="both"/>
              <w:rPr>
                <w:lang w:val="en-GB"/>
              </w:rPr>
            </w:pPr>
            <w:r>
              <w:rPr>
                <w:lang w:val="en-GB"/>
              </w:rPr>
              <w:t xml:space="preserve">Moreover, they sometimes rely on imports for strategic components, which can jeopardize the supply chain in case of disruptions or price increases. </w:t>
            </w:r>
          </w:p>
          <w:p>
            <w:pPr>
              <w:pStyle w:val="NormalWeb"/>
              <w:jc w:val="both"/>
              <w:rPr>
                <w:lang w:val="en-GB"/>
              </w:rPr>
            </w:pPr>
            <w:r>
              <w:rPr>
                <w:lang w:val="en-GB"/>
              </w:rPr>
              <w:t>European nuclear subcontractors must adapt to innovations and regain competitiveness to preserve - and possibly increase - their market shares and ensure that nuclear electricity production remains affordable. Modern productive processes (e.g.: digital twins, AI, additive manufacturing, new welding process, spin-off effects of nuclear sector applied in other sectors) must also be developed. These investments in the nuclear supply chain, whether for modernisation, digital transformation, or capacity expansion, which may not always be directly profitable due to the long lead times and uncertainties common in the development of new reactors. Furthermore, competitiveness of future NPPs, in particular of SMRs, is largely depending on better control of “</w:t>
            </w:r>
            <w:proofErr w:type="spellStart"/>
            <w:r>
              <w:rPr>
                <w:lang w:val="en-GB"/>
              </w:rPr>
              <w:t>cost&amp;time</w:t>
            </w:r>
            <w:proofErr w:type="spellEnd"/>
            <w:r>
              <w:rPr>
                <w:lang w:val="en-GB"/>
              </w:rPr>
              <w:t>” for their construction, through reorganization of shop manufacturing based on series production and/or modular construction (and testing), which require upfront investments to be recovered in the long run, so creating a vicious circle between the confidence of industrial investors in the future revenues and the confidence of customers and financial investors in competitive costs of nuclear energy. Getting to a "factory-oriented" approach —i.e., serial production of components and modules in offsite facilities requires a reorganization of production processes, which itself drives innovation. Examples include advanced manufacturing techniques, such as electron beam welding, inline inspection and quality control, and commissioning at the manufacturing site.</w:t>
            </w:r>
          </w:p>
          <w:p>
            <w:pPr>
              <w:pStyle w:val="Titre2"/>
            </w:pPr>
            <w:bookmarkStart w:id="2" w:name="_Hlk185591110"/>
            <w:r>
              <w:t>What types of research and development and innovation or first industrial deployment activities (</w:t>
            </w:r>
            <w:r>
              <w:rPr>
                <w:rStyle w:val="Appelnotedebasdep"/>
              </w:rPr>
              <w:footnoteReference w:id="8"/>
            </w:r>
            <w:r>
              <w:t>) need to be conducted? For RDI-activities, why would they be of major innovative nature or constitute an important added value in light of the state of the art? For FID activities, why do they allow for the development of a new product or service with high research and innovation content or the deployment of a fundamentally innovative production process?</w:t>
            </w:r>
          </w:p>
          <w:bookmarkEnd w:id="2"/>
          <w:p>
            <w:pPr>
              <w:pStyle w:val="Text2"/>
              <w:ind w:left="0"/>
            </w:pPr>
            <w:r>
              <w:t xml:space="preserve">The nuclear supply chain development, transformation and modernisation of industrial sites could involve R&amp;D&amp;I and FID activities to develop new structural materials, new machines, digital tools (e.g., digital twins, AI applications), or processes for example, being able to face the challenge of new reactor types. Most activities of this theme will probably consist in developing and deploying technologies with high research and innovation content to support continuous improvement (beyond regular upgrades), operational efficiency, and new manufacturing processes, which must qualify for the high standards of safety of the nuclear industry. </w:t>
            </w:r>
          </w:p>
          <w:p>
            <w:pPr>
              <w:pStyle w:val="Titre2"/>
              <w:rPr>
                <w:lang w:val="en-IE"/>
              </w:rPr>
            </w:pPr>
            <w:r>
              <w:rPr>
                <w:lang w:val="en-IE"/>
              </w:rPr>
              <w:t>Is the initiative related to an integrated infrastructure project in the environmental, energy, transport, health or digital sectors? If yes, please explain why it is of great importance for the respective EU strategies or why it will contribute significantly to the internal market.</w:t>
            </w:r>
          </w:p>
          <w:p>
            <w:pPr>
              <w:pStyle w:val="Text2"/>
              <w:ind w:left="0"/>
              <w:rPr>
                <w:lang w:val="en-IE"/>
              </w:rPr>
            </w:pPr>
            <w:r>
              <w:t>Integrated infrastructure projects could be identified further in the design process, based on Member States' feedback.</w:t>
            </w:r>
          </w:p>
        </w:tc>
      </w:tr>
      <w:tr>
        <w:tc>
          <w:tcPr>
            <w:tcW w:w="8594"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pPr>
              <w:pStyle w:val="Titre1"/>
            </w:pPr>
            <w:r>
              <w:lastRenderedPageBreak/>
              <w:t>EU Dimension</w:t>
            </w:r>
          </w:p>
        </w:tc>
      </w:tr>
      <w:tr>
        <w:tc>
          <w:tcPr>
            <w:tcW w:w="8594" w:type="dxa"/>
            <w:gridSpan w:val="2"/>
            <w:tcBorders>
              <w:top w:val="single" w:sz="4" w:space="0" w:color="auto"/>
              <w:bottom w:val="single" w:sz="4" w:space="0" w:color="auto"/>
            </w:tcBorders>
          </w:tcPr>
          <w:p>
            <w:pPr>
              <w:rPr>
                <w:i/>
                <w:iCs/>
              </w:rPr>
            </w:pPr>
            <w:r>
              <w:rPr>
                <w:i/>
                <w:iCs/>
              </w:rPr>
              <w:t xml:space="preserve">This section aims at assessing the relevance of an intervention at EU level in the proposed area. </w:t>
            </w:r>
          </w:p>
          <w:p>
            <w:pPr>
              <w:pStyle w:val="Titre2"/>
            </w:pPr>
            <w:r>
              <w:t xml:space="preserve">What would be the EU value-added of an intervention in this area? </w:t>
            </w:r>
          </w:p>
          <w:p>
            <w:pPr>
              <w:pStyle w:val="Text2"/>
              <w:ind w:left="0"/>
              <w:rPr>
                <w:color w:val="000000" w:themeColor="text1"/>
              </w:rPr>
            </w:pPr>
            <w:r>
              <w:rPr>
                <w:color w:val="000000" w:themeColor="text1"/>
              </w:rPr>
              <w:t>The existing European nuclear supply chain can support and benefit from the renewed interest in nuclear energy, that is detected world-wide: a stronger and larger European supply chain increase the internal revenues of European projects in this sector as well as reinforce its key-role in the worldwide market.</w:t>
            </w:r>
          </w:p>
          <w:p>
            <w:pPr>
              <w:pStyle w:val="Text2"/>
              <w:ind w:left="0"/>
            </w:pPr>
            <w:r>
              <w:rPr>
                <w:color w:val="000000" w:themeColor="text1"/>
              </w:rPr>
              <w:t xml:space="preserve">The development of nuclear production capacities is critical for achieving the EU’s resilience and open strategic autonomy in the field of low-carbon energy. However, the EU still needs to build a joint and coordinated strategy to date. </w:t>
            </w:r>
          </w:p>
          <w:p>
            <w:pPr>
              <w:pStyle w:val="Text2"/>
              <w:ind w:left="0"/>
            </w:pPr>
            <w:r>
              <w:t xml:space="preserve">Projects of construction or operation of nuclear power plants are known to require long development and deployment times. An intervention at EU level in this area would allow stronger mobilisation of public and private resources, first of all by creating a larger and accessible “internal” market for the European industry, and also by curbing the risks associated with change in policy at national level, which are a significant obstacle to long term investments like those associated with nuclear. </w:t>
            </w:r>
            <w:r>
              <w:rPr>
                <w:color w:val="000000" w:themeColor="text1"/>
              </w:rPr>
              <w:t>In addition, a collaborative EU-wide project in the area of the development of nuclear supply chains, as well as the transformation and modernisation of existing industrial sites will facilitate the development of nuclear power plants. This could help to resolve the coordination problems between subcontractors and major manufacturers at different levels of the value chain, as investments of the first ones are often dependent on the investments of the second ones and vice versa. In addition, by fostering a robust and competitive domestic nuclear supply chain, the EU can reduce its dependence on non-EU suppliers for critical components, fuels, and services. This enhances energy security and reduces vulnerability to geopolitical risks.</w:t>
            </w:r>
          </w:p>
          <w:p>
            <w:pPr>
              <w:pStyle w:val="Titre2"/>
            </w:pPr>
            <w:r>
              <w:t xml:space="preserve">Which positive spill-over effects to the EU economy/society would the initiative deliver? </w:t>
            </w:r>
          </w:p>
          <w:p>
            <w:pPr>
              <w:pStyle w:val="Text2"/>
              <w:ind w:left="0"/>
              <w:rPr>
                <w:color w:val="000000" w:themeColor="text1"/>
              </w:rPr>
            </w:pPr>
            <w:r>
              <w:rPr>
                <w:color w:val="000000" w:themeColor="text1"/>
              </w:rPr>
              <w:t>This IPCEI will bring around the table various players committed to building new reactors to increase Europe’s industrial capacity, maintaining existing reactors in safe operating conditions to meet Europe’s electricity needs, and developing R&amp;D for smaller reactors to improve performance and modernise processes. This will help to foster collaboration between partners in the IPCEI ecosystem to share some of the knowledge obtained within the industry and more broadly in the energy sector and its applications.</w:t>
            </w:r>
          </w:p>
          <w:p>
            <w:pPr>
              <w:pStyle w:val="Text2"/>
              <w:ind w:left="0"/>
              <w:rPr>
                <w:color w:val="000000" w:themeColor="text1"/>
              </w:rPr>
            </w:pPr>
            <w:r>
              <w:rPr>
                <w:color w:val="000000" w:themeColor="text1"/>
              </w:rPr>
              <w:t>In addition, an IPCEI will have spill-over effects for the broader European economy and society in terms of:</w:t>
            </w:r>
          </w:p>
          <w:p>
            <w:pPr>
              <w:pStyle w:val="Text2"/>
              <w:numPr>
                <w:ilvl w:val="0"/>
                <w:numId w:val="43"/>
              </w:numPr>
              <w:rPr>
                <w:color w:val="000000" w:themeColor="text1"/>
              </w:rPr>
            </w:pPr>
            <w:r>
              <w:rPr>
                <w:b/>
                <w:szCs w:val="22"/>
              </w:rPr>
              <w:t>Boost competitiveness,</w:t>
            </w:r>
            <w:r>
              <w:rPr>
                <w:szCs w:val="22"/>
              </w:rPr>
              <w:t xml:space="preserve"> </w:t>
            </w:r>
            <w:r>
              <w:rPr>
                <w:color w:val="000000"/>
                <w:szCs w:val="22"/>
                <w14:ligatures w14:val="standardContextual"/>
              </w:rPr>
              <w:t>by enhancing the competitiveness of EU companies in global markets. It will more generally contribute to strengthen the position of the EU in the nuclear sector;</w:t>
            </w:r>
          </w:p>
          <w:p>
            <w:pPr>
              <w:pStyle w:val="Text2"/>
              <w:numPr>
                <w:ilvl w:val="0"/>
                <w:numId w:val="43"/>
              </w:numPr>
              <w:rPr>
                <w:color w:val="000000" w:themeColor="text1"/>
              </w:rPr>
            </w:pPr>
            <w:r>
              <w:rPr>
                <w:b/>
                <w:color w:val="000000"/>
                <w:szCs w:val="22"/>
                <w14:ligatures w14:val="standardContextual"/>
              </w:rPr>
              <w:t xml:space="preserve">Reduction in carbon emissions, </w:t>
            </w:r>
            <w:r>
              <w:rPr>
                <w:color w:val="000000"/>
                <w:szCs w:val="22"/>
                <w14:ligatures w14:val="standardContextual"/>
              </w:rPr>
              <w:t xml:space="preserve">by supporting the development of low-carbon energy, and in turn contributing to the EU’s climate goals by significantly </w:t>
            </w:r>
            <w:r>
              <w:rPr>
                <w:color w:val="000000"/>
                <w:szCs w:val="22"/>
                <w14:ligatures w14:val="standardContextual"/>
              </w:rPr>
              <w:lastRenderedPageBreak/>
              <w:t>lowering greenhouse gas emissions and advancing the transition to a low-carbon economy;</w:t>
            </w:r>
          </w:p>
          <w:p>
            <w:pPr>
              <w:pStyle w:val="Text2"/>
              <w:numPr>
                <w:ilvl w:val="0"/>
                <w:numId w:val="43"/>
              </w:numPr>
              <w:rPr>
                <w:color w:val="000000" w:themeColor="text1"/>
              </w:rPr>
            </w:pPr>
            <w:r>
              <w:rPr>
                <w:b/>
                <w:bCs/>
                <w:color w:val="000000" w:themeColor="text1"/>
              </w:rPr>
              <w:t>Stabilization of energy prices</w:t>
            </w:r>
            <w:r>
              <w:rPr>
                <w:color w:val="000000" w:themeColor="text1"/>
              </w:rPr>
              <w:t>, as nuclear energy production is less affected by market oscillations compared to gas-generated one;</w:t>
            </w:r>
          </w:p>
          <w:p>
            <w:pPr>
              <w:pStyle w:val="Text2"/>
              <w:numPr>
                <w:ilvl w:val="0"/>
                <w:numId w:val="43"/>
              </w:numPr>
              <w:rPr>
                <w:color w:val="000000" w:themeColor="text1"/>
              </w:rPr>
            </w:pPr>
            <w:r>
              <w:rPr>
                <w:b/>
                <w:bCs/>
                <w:color w:val="000000" w:themeColor="text1"/>
              </w:rPr>
              <w:t xml:space="preserve">Job Creation and Regional Development </w:t>
            </w:r>
            <w:r>
              <w:rPr>
                <w:color w:val="000000" w:themeColor="text1"/>
              </w:rPr>
              <w:t>due to the investments in nuclear industrial sites that stimulate economic activity in specific regions, creating high-skilled jobs in manufacturing, engineering, construction, and related sectors. This could lead to regional development and attract further investment.</w:t>
            </w:r>
          </w:p>
          <w:p>
            <w:pPr>
              <w:pStyle w:val="Text2"/>
              <w:numPr>
                <w:ilvl w:val="0"/>
                <w:numId w:val="43"/>
              </w:numPr>
              <w:rPr>
                <w:color w:val="000000" w:themeColor="text1"/>
              </w:rPr>
            </w:pPr>
            <w:r>
              <w:rPr>
                <w:b/>
                <w:color w:val="000000"/>
                <w:szCs w:val="22"/>
                <w14:ligatures w14:val="standardContextual"/>
              </w:rPr>
              <w:t xml:space="preserve">Technology transfer and Innovation, </w:t>
            </w:r>
            <w:r>
              <w:rPr>
                <w:color w:val="000000"/>
                <w:szCs w:val="22"/>
                <w14:ligatures w14:val="standardContextual"/>
              </w:rPr>
              <w:t>technologies developed for the nuclear sector can often find applications in other industries, such as materials science, manufacturing, and digital technologies, fostering broader economic benefits.</w:t>
            </w:r>
          </w:p>
          <w:p>
            <w:pPr>
              <w:pStyle w:val="Text2"/>
              <w:numPr>
                <w:ilvl w:val="0"/>
                <w:numId w:val="43"/>
              </w:numPr>
              <w:rPr>
                <w:color w:val="000000" w:themeColor="text1"/>
              </w:rPr>
            </w:pPr>
            <w:r>
              <w:rPr>
                <w:b/>
                <w:bCs/>
                <w:color w:val="000000" w:themeColor="text1"/>
              </w:rPr>
              <w:t xml:space="preserve">Improved Resource Efficiency and Circular Economy </w:t>
            </w:r>
            <w:r>
              <w:rPr>
                <w:color w:val="000000" w:themeColor="text1"/>
              </w:rPr>
              <w:t>because the IPCEI could promote the adoption of circular economy principles in the nuclear sector, such as waste reduction, multiple recycling of fuel, and reuse of materials. This can lead to more sustainable resource management and reduce the environmental footprint of nuclear energy.</w:t>
            </w:r>
          </w:p>
          <w:p>
            <w:pPr>
              <w:pStyle w:val="Titre2"/>
            </w:pPr>
            <w:r>
              <w:t>Would the initiative address or aim to prevent a significant EU strategic dependency? If yes, please describe which dependency and how the initiative addresses it.</w:t>
            </w:r>
          </w:p>
          <w:p>
            <w:pPr>
              <w:pStyle w:val="Text2"/>
              <w:ind w:left="0"/>
              <w:rPr>
                <w:color w:val="000000" w:themeColor="text1"/>
              </w:rPr>
            </w:pPr>
            <w:r>
              <w:rPr>
                <w:color w:val="000000" w:themeColor="text1"/>
              </w:rPr>
              <w:t>The proposed initiative could help the European Union in its efforts to diversify its supply sources of components needed to build nuclear reactors and generate downstream investments. The IPCEI could strengthen the European nuclear supply chain including fuel production, component manufacturing, reactor construction, and maintenance, that would ensure a resilient and independent industrial base for nuclear power generation within the EU.</w:t>
            </w:r>
          </w:p>
          <w:p>
            <w:pPr>
              <w:pStyle w:val="Text2"/>
              <w:ind w:left="0"/>
              <w:rPr>
                <w:color w:val="000000" w:themeColor="text1"/>
              </w:rPr>
            </w:pPr>
            <w:r>
              <w:rPr>
                <w:color w:val="000000" w:themeColor="text1"/>
              </w:rPr>
              <w:t>In addition, Europe has a solid history in nuclear technology, but current global competition is fierce. Without continuous investment, the EU risks falling behind in advanced nuclear technologies, including SMRs and AMRs, becoming dependent on foreign providers. By supporting research, development, and deployment of advanced manufacturing technologies, digital tools, and innovative processes within the nuclear supply chain, the IPCEI could ensure Europe remains at the forefront of nuclear technology, preventing reliance on external actors for critical technologies.</w:t>
            </w:r>
          </w:p>
          <w:p>
            <w:pPr>
              <w:pStyle w:val="Text2"/>
              <w:ind w:left="0"/>
              <w:rPr>
                <w:color w:val="000000" w:themeColor="text1"/>
              </w:rPr>
            </w:pPr>
            <w:r>
              <w:rPr>
                <w:color w:val="000000" w:themeColor="text1"/>
              </w:rPr>
              <w:t>Aging industrial sites and infrastructure within the nuclear sector can hinder innovation and efficiency. Modernization is crucial to maintain competitiveness and ensure safe and reliable operation. By supporting the transformation and modernization of industrial sites, the IPCEI could ensure that the EU has state-of-the-art facilities for nuclear manufacturing, research, and development, preventing dependence on outdated infrastructure.</w:t>
            </w:r>
          </w:p>
          <w:p>
            <w:pPr>
              <w:pStyle w:val="Text2"/>
              <w:ind w:left="0"/>
              <w:rPr>
                <w:color w:val="000000" w:themeColor="text1"/>
              </w:rPr>
            </w:pPr>
            <w:r>
              <w:rPr>
                <w:color w:val="000000" w:themeColor="text1"/>
              </w:rPr>
              <w:t xml:space="preserve">Solidifying a European supply chain for nuclear fuel would greatly reduce EU dependency in importing it from other areas of the world, often geopolitically unstable, and greatly increase EU energy strategic </w:t>
            </w:r>
            <w:r>
              <w:rPr>
                <w:color w:val="000000" w:themeColor="text1"/>
              </w:rPr>
              <w:t>independence.</w:t>
            </w:r>
          </w:p>
        </w:tc>
      </w:tr>
      <w:tr>
        <w:tc>
          <w:tcPr>
            <w:tcW w:w="8594" w:type="dxa"/>
            <w:gridSpan w:val="2"/>
            <w:tcBorders>
              <w:top w:val="single" w:sz="4" w:space="0" w:color="auto"/>
              <w:left w:val="nil"/>
              <w:bottom w:val="single" w:sz="4" w:space="0" w:color="auto"/>
              <w:right w:val="nil"/>
            </w:tcBorders>
          </w:tcPr>
          <w:p>
            <w:pPr>
              <w:rPr>
                <w:i/>
                <w:iCs/>
              </w:rPr>
            </w:pPr>
          </w:p>
        </w:tc>
      </w:tr>
      <w:tr>
        <w:tc>
          <w:tcPr>
            <w:tcW w:w="8594"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pPr>
              <w:pStyle w:val="Titre1"/>
            </w:pPr>
            <w:r>
              <w:lastRenderedPageBreak/>
              <w:t>Market Dimension</w:t>
            </w:r>
          </w:p>
        </w:tc>
      </w:tr>
      <w:tr>
        <w:tc>
          <w:tcPr>
            <w:tcW w:w="8594" w:type="dxa"/>
            <w:gridSpan w:val="2"/>
            <w:tcBorders>
              <w:top w:val="single" w:sz="4" w:space="0" w:color="auto"/>
              <w:left w:val="single" w:sz="4" w:space="0" w:color="auto"/>
              <w:bottom w:val="single" w:sz="4" w:space="0" w:color="auto"/>
              <w:right w:val="single" w:sz="4" w:space="0" w:color="auto"/>
            </w:tcBorders>
          </w:tcPr>
          <w:p>
            <w:pPr>
              <w:rPr>
                <w:i/>
                <w:iCs/>
              </w:rPr>
            </w:pPr>
            <w:r>
              <w:rPr>
                <w:i/>
                <w:iCs/>
              </w:rPr>
              <w:t xml:space="preserve">The objective of this section is to assess whether there is a need for public intervention in the area. </w:t>
            </w:r>
          </w:p>
          <w:p>
            <w:pPr>
              <w:pStyle w:val="Titre2"/>
            </w:pPr>
            <w:r>
              <w:t xml:space="preserve">What </w:t>
            </w:r>
            <w:proofErr w:type="gramStart"/>
            <w:r>
              <w:t>are</w:t>
            </w:r>
            <w:proofErr w:type="gramEnd"/>
            <w:r>
              <w:t xml:space="preserve"> the important market, systemic failures, or societal challenges that the initiative will address? Why is public intervention necessary? </w:t>
            </w:r>
          </w:p>
          <w:p>
            <w:pPr>
              <w:pStyle w:val="Text2"/>
              <w:ind w:left="0"/>
            </w:pPr>
            <w:r>
              <w:t xml:space="preserve">An IPCEI for the nuclear supply chain development would respond to several market failures, including political risk, and coordination issues. </w:t>
            </w:r>
          </w:p>
          <w:p>
            <w:pPr>
              <w:pStyle w:val="Text2"/>
              <w:ind w:left="482"/>
              <w:rPr>
                <w:b/>
                <w:bCs/>
              </w:rPr>
            </w:pPr>
            <w:r>
              <w:rPr>
                <w:b/>
                <w:bCs/>
              </w:rPr>
              <w:t xml:space="preserve">Imperfect and asymmetric information on financial risk: </w:t>
            </w:r>
          </w:p>
          <w:p>
            <w:pPr>
              <w:pStyle w:val="Text2"/>
              <w:ind w:left="0"/>
            </w:pPr>
            <w:r>
              <w:t xml:space="preserve">Suppliers of nuclear power plants’ components depend largely on political choices made by the EU Member States, in terms of energy policy and public investments. This </w:t>
            </w:r>
            <w:r>
              <w:rPr>
                <w:b/>
              </w:rPr>
              <w:t>political insecurity can hinder the capacity of projects to have access to financing</w:t>
            </w:r>
            <w:r>
              <w:t xml:space="preserve">. Private investors may indeed be reluctant to finance projects either aimed at increasing production capacity, or aimed at acquiring the necessary certification as they perceive the risk as too high or unpredictable. </w:t>
            </w:r>
          </w:p>
          <w:p>
            <w:pPr>
              <w:pStyle w:val="Text2"/>
              <w:ind w:left="0"/>
            </w:pPr>
            <w:r>
              <w:t xml:space="preserve">The nuclear supply chain is indirectly subject to the financial risks encountered by nuclear reactor projects. The financing of energy projects is challenging in general, because of the volatility of market prices and the limited time horizon for most investors and lenders. Energy contracts are signed on a much shorter time-scale compared to the long life of a reactor, while investors have little visibility on their future selling prices. Fundamentally, common calculations in the financial sector seem to undervalue the long term. The Net Present Value calculation, often used by financiers, normally result in a value close to zero for any cash flow 30 years in the future and beyond, while NPPs across Europe, often aged 40-60 years, show their commercial and societal value on a daily basis. </w:t>
            </w:r>
          </w:p>
          <w:p>
            <w:pPr>
              <w:pStyle w:val="Text2"/>
              <w:ind w:left="720"/>
              <w:rPr>
                <w:b/>
                <w:bCs/>
              </w:rPr>
            </w:pPr>
            <w:r>
              <w:rPr>
                <w:b/>
                <w:bCs/>
              </w:rPr>
              <w:t xml:space="preserve">Coordination issues: </w:t>
            </w:r>
          </w:p>
          <w:p>
            <w:pPr>
              <w:pStyle w:val="Text2"/>
              <w:ind w:left="0"/>
            </w:pPr>
            <w:r>
              <w:t xml:space="preserve">The market failure that results from political risk is exacerbated by a coordination issue between nuclear power plant technology providers, utilities, and the nuclear supply chain, </w:t>
            </w:r>
            <w:r>
              <w:rPr>
                <w:b/>
              </w:rPr>
              <w:t>each economic agent waiting for the other to be the first to make substantial investment.</w:t>
            </w:r>
            <w:r>
              <w:t xml:space="preserve"> </w:t>
            </w:r>
          </w:p>
          <w:p>
            <w:pPr>
              <w:pStyle w:val="Text2"/>
              <w:ind w:left="0"/>
            </w:pPr>
            <w:r>
              <w:t xml:space="preserve">Recently, nuclear power plant projects have emerged in several Member States and would benefit from a more performant and competitive supply chain. Whereas some nuclear power plant components are already produced in Europe (partly due to the need to replace them on a regular basis), some strategic components might be produced in extra-EU countries. For a potential manufacturer, investment could be driven by a substantial order, and can then be delayed while the market is growing. </w:t>
            </w:r>
          </w:p>
          <w:p>
            <w:pPr>
              <w:pStyle w:val="Text2"/>
              <w:ind w:left="0"/>
            </w:pPr>
            <w:r>
              <w:t xml:space="preserve">Thus, </w:t>
            </w:r>
            <w:r>
              <w:rPr>
                <w:b/>
              </w:rPr>
              <w:t>the supply chain is facing a vicious circle: investment cannot occur without a strong enough demand, but it should take place several years in advance</w:t>
            </w:r>
            <w:r>
              <w:t xml:space="preserve"> to offer a reliable and operational solution when nuclear projects emerge. </w:t>
            </w:r>
          </w:p>
          <w:p>
            <w:pPr>
              <w:pStyle w:val="Text2"/>
              <w:ind w:left="720"/>
              <w:rPr>
                <w:b/>
                <w:bCs/>
              </w:rPr>
            </w:pPr>
            <w:r>
              <w:rPr>
                <w:b/>
                <w:bCs/>
              </w:rPr>
              <w:t xml:space="preserve">Positive externalities: </w:t>
            </w:r>
          </w:p>
          <w:p>
            <w:pPr>
              <w:pStyle w:val="Text2"/>
              <w:ind w:left="0"/>
            </w:pPr>
            <w:r>
              <w:lastRenderedPageBreak/>
              <w:t>A European nuclear supply chain would participate to the reduction of risk associated with supply chain disruption, which can have significative effects, because of the strategic importance of electricity, being upstream of many value chains. Yet, the social value of a stable and safe access to electricity supply is not fully reflected in the revenues of nuclear projects.</w:t>
            </w:r>
          </w:p>
          <w:p>
            <w:pPr>
              <w:pStyle w:val="Titre2"/>
            </w:pPr>
            <w:r>
              <w:t xml:space="preserve">Is there an existing EU value chain in the area? Is there a pipeline of private projects in the area that needs de-risking/ financing? On which basis can individual projects be integrated in a common structure/roadmap or programme aiming at a coherent, systemic approach?  </w:t>
            </w:r>
          </w:p>
          <w:p>
            <w:pPr>
              <w:pStyle w:val="Text2"/>
              <w:ind w:left="0"/>
            </w:pPr>
            <w:r>
              <w:t>An EU value chain already exists for the maintenance of existing nuclear power plants. This value chain is in capacity to produce the majority of the components of a current deployed reactor technology. In addition, an EU value chain exists also for the decommissioning of current nuclear power plants and facilities and for the radioactive waste management. The introduction of new reactors design and nuclear fuels could involve a reconsideration and an upgrade of the current supply chain - for example because some required materials may not be readily available today, and their industrialization would require dedicated efforts.</w:t>
            </w:r>
          </w:p>
          <w:p>
            <w:pPr>
              <w:pStyle w:val="Text2"/>
              <w:ind w:left="0"/>
            </w:pPr>
            <w:r>
              <w:t xml:space="preserve">An IPCEI including the nuclear supply chain could be aimed at relocating in Europe activities which no longer exist or for which Member States have lost the necessary expertise, due to a slow-down in the construction of new nuclear reactors. Such activities would only be profitable under the condition of a strong demand, at the European level, thus ensuring the integration of the market at this scale. </w:t>
            </w:r>
          </w:p>
          <w:p>
            <w:pPr>
              <w:pStyle w:val="Titre2"/>
            </w:pPr>
            <w:r>
              <w:t>How would the IPCEI help to leverage or trigger more private investments or financing from the market in the technology area concerned?</w:t>
            </w:r>
          </w:p>
          <w:p>
            <w:pPr>
              <w:pStyle w:val="Text2"/>
              <w:ind w:left="0"/>
            </w:pPr>
            <w:r>
              <w:t>The IPCEI would lift the coordination failure by ensuring a coordinated investment throughout all segments of the supply chain. It would be the mean of coordinating nuclear supply chain and uranium production with the needs of the member states in terms of new nuclear reactors. It would enable investments from the supply chain actors to answer the future needs of the member states in terms of nuclear production. Moreover, the emergence of a European plan on nuclear would send a strong political signal, giving security and visibility to private investors, and reassuring them as to member states support to the nuclear industry, thus lifting the political risk market failure.</w:t>
            </w:r>
          </w:p>
        </w:tc>
      </w:tr>
      <w:tr>
        <w:tc>
          <w:tcPr>
            <w:tcW w:w="8594" w:type="dxa"/>
            <w:gridSpan w:val="2"/>
            <w:tcBorders>
              <w:top w:val="single" w:sz="4" w:space="0" w:color="auto"/>
              <w:left w:val="nil"/>
              <w:bottom w:val="single" w:sz="4" w:space="0" w:color="auto"/>
              <w:right w:val="nil"/>
            </w:tcBorders>
          </w:tcPr>
          <w:p>
            <w:pPr>
              <w:rPr>
                <w:i/>
                <w:iCs/>
              </w:rPr>
            </w:pPr>
          </w:p>
        </w:tc>
      </w:tr>
      <w:tr>
        <w:tc>
          <w:tcPr>
            <w:tcW w:w="8594"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pPr>
              <w:pStyle w:val="Titre1"/>
            </w:pPr>
            <w:bookmarkStart w:id="3" w:name="_Hlk188549657"/>
            <w:r>
              <w:t>IPCEI value-added</w:t>
            </w:r>
          </w:p>
        </w:tc>
      </w:tr>
      <w:tr>
        <w:tc>
          <w:tcPr>
            <w:tcW w:w="8594" w:type="dxa"/>
            <w:gridSpan w:val="2"/>
            <w:tcBorders>
              <w:top w:val="single" w:sz="4" w:space="0" w:color="auto"/>
              <w:bottom w:val="single" w:sz="4" w:space="0" w:color="auto"/>
            </w:tcBorders>
          </w:tcPr>
          <w:p>
            <w:pPr>
              <w:rPr>
                <w:i/>
                <w:iCs/>
              </w:rPr>
            </w:pPr>
            <w:r>
              <w:rPr>
                <w:i/>
                <w:iCs/>
              </w:rPr>
              <w:t xml:space="preserve">The objective of this section is to assess whether an IPCEI would be an efficient tool to intervene in the given area. </w:t>
            </w:r>
          </w:p>
          <w:p>
            <w:pPr>
              <w:pStyle w:val="Titre2"/>
            </w:pPr>
            <w:r>
              <w:lastRenderedPageBreak/>
              <w:t>Can the area be entirely supported by other EU and/or national policy interventions?</w:t>
            </w:r>
          </w:p>
          <w:p>
            <w:pPr>
              <w:pStyle w:val="Text2"/>
              <w:ind w:left="0"/>
            </w:pPr>
            <w:r>
              <w:t>From an industrial point of view, the European SMR Industrial Alliance</w:t>
            </w:r>
            <w:r>
              <w:rPr>
                <w:rStyle w:val="Appelnotedebasdep"/>
              </w:rPr>
              <w:footnoteReference w:id="9"/>
            </w:r>
            <w:r>
              <w:t xml:space="preserve"> was launched in February 2024 to support the development and deployment of SMRs and AMRs in Europe, as well as the EU nuclear supply chain preparedness. It will contribute in particular to structure a robust, industrialised nuclear supply chain and develop cutting-edge technological solutions that meet Europe’s decarbonisation needs. </w:t>
            </w:r>
          </w:p>
          <w:p>
            <w:pPr>
              <w:pStyle w:val="Text2"/>
              <w:ind w:left="0"/>
              <w:rPr>
                <w:color w:val="000000" w:themeColor="text1"/>
              </w:rPr>
            </w:pPr>
            <w:r>
              <w:rPr>
                <w:color w:val="000000" w:themeColor="text1"/>
              </w:rPr>
              <w:t>For that reason, one of the groups inside the SMR Industrial Alliance is fully dedicated to the supply chain with the aim to reach key objectives such as supply chain assessment, economic and sustainability analysis, capability development, collaboration, providing customised technologies as standardization and modular constructions. This Alliance is focused on SMRs only and does not cover other challenges linked with large reactors but larger benefits are to be expected.</w:t>
            </w:r>
          </w:p>
          <w:p>
            <w:pPr>
              <w:pStyle w:val="Text2"/>
              <w:ind w:left="0"/>
            </w:pPr>
            <w:r>
              <w:t xml:space="preserve">As demonstrated in section 5.2 below, the current framework, excessively rigid, constrains investment and utilisation opportunities for both Member states and companies. </w:t>
            </w:r>
          </w:p>
          <w:p>
            <w:pPr>
              <w:pStyle w:val="Titre2"/>
            </w:pPr>
            <w:r>
              <w:t xml:space="preserve">Can the area be supported by alternative funding tools, such as Horizon, DEP, CEF or other appropriate State aid instruments, such as CEEAG, RDIF, GBER? </w:t>
            </w:r>
          </w:p>
          <w:p>
            <w:pPr>
              <w:pStyle w:val="Text2"/>
              <w:ind w:left="0"/>
            </w:pPr>
            <w:r>
              <w:rPr>
                <w:b/>
                <w:bCs/>
              </w:rPr>
              <w:t>At the EU level, nuclear energy projects, including up- and downstream of the value chain, are</w:t>
            </w:r>
            <w:r>
              <w:t xml:space="preserve"> </w:t>
            </w:r>
            <w:r>
              <w:rPr>
                <w:b/>
                <w:bCs/>
              </w:rPr>
              <w:t>excluded from a number of EU-level funds</w:t>
            </w:r>
            <w:r>
              <w:t>: (</w:t>
            </w:r>
            <w:proofErr w:type="spellStart"/>
            <w:r>
              <w:t>i</w:t>
            </w:r>
            <w:proofErr w:type="spellEnd"/>
            <w:r>
              <w:t xml:space="preserve">) from most TFEU-based funds and financing schemes, including from </w:t>
            </w:r>
            <w:proofErr w:type="spellStart"/>
            <w:r>
              <w:t>InvestEU</w:t>
            </w:r>
            <w:proofErr w:type="spellEnd"/>
            <w:r>
              <w:t xml:space="preserve"> and Cohesion funds; (ii) while currently available Euratom funds and financing schemes are mostly able to support RD&amp;I projects.</w:t>
            </w:r>
          </w:p>
          <w:p>
            <w:r>
              <w:t xml:space="preserve">Some nuclear projects are explicitly excluded from the scope of </w:t>
            </w:r>
            <w:r>
              <w:rPr>
                <w:b/>
                <w:bCs/>
              </w:rPr>
              <w:t xml:space="preserve">many of the EU funding tools as the </w:t>
            </w:r>
            <w:proofErr w:type="spellStart"/>
            <w:r>
              <w:rPr>
                <w:b/>
                <w:bCs/>
              </w:rPr>
              <w:t>InvestEU</w:t>
            </w:r>
            <w:proofErr w:type="spellEnd"/>
            <w:r>
              <w:rPr>
                <w:b/>
                <w:bCs/>
              </w:rPr>
              <w:t xml:space="preserve"> instrument</w:t>
            </w:r>
            <w:r>
              <w:rPr>
                <w:rStyle w:val="Appelnotedebasdep"/>
                <w:b/>
                <w:bCs/>
              </w:rPr>
              <w:footnoteReference w:id="10"/>
            </w:r>
            <w:r>
              <w:rPr>
                <w:b/>
                <w:bCs/>
              </w:rPr>
              <w:t>, the European Regional Development Fund (ERDF)</w:t>
            </w:r>
            <w:r>
              <w:rPr>
                <w:rStyle w:val="Appelnotedebasdep"/>
                <w:b/>
                <w:bCs/>
              </w:rPr>
              <w:footnoteReference w:id="11"/>
            </w:r>
            <w:r>
              <w:rPr>
                <w:b/>
                <w:bCs/>
              </w:rPr>
              <w:t xml:space="preserve"> and the Just Transition Fund</w:t>
            </w:r>
            <w:r>
              <w:rPr>
                <w:rStyle w:val="Appelnotedebasdep"/>
                <w:b/>
                <w:bCs/>
              </w:rPr>
              <w:footnoteReference w:id="12"/>
            </w:r>
            <w:r>
              <w:rPr>
                <w:b/>
                <w:bCs/>
              </w:rPr>
              <w:t>.</w:t>
            </w:r>
            <w:r>
              <w:rPr>
                <w:szCs w:val="24"/>
                <w:lang w:val="en-US" w:eastAsia="fr-FR"/>
              </w:rPr>
              <w:t xml:space="preserve"> </w:t>
            </w:r>
          </w:p>
          <w:p>
            <w:pPr>
              <w:pStyle w:val="Text2"/>
              <w:ind w:left="0"/>
            </w:pPr>
            <w:r>
              <w:t xml:space="preserve">In addition, while the Innovation Fund and CEF’s scope do not exclude nuclear power projects, none of their call rounds have ever aimed at supporting nuclear-related technologies. The explicit or implicit exclusion of nuclear power projects from the scope of these EU funds is a significant hinder for Member States looking to develop new nuclear power capacities as part of their strategy to decarbonise in an inclusive, affordable way and denies their ability to choose over the composition of their energy mixes, as per Article 194(2) of the TFEU. </w:t>
            </w:r>
            <w:r>
              <w:rPr>
                <w:b/>
                <w:bCs/>
              </w:rPr>
              <w:t>Therefore, long-term regulatory, political, and public perception challenges remain and the development of a robust EU value chain for nuclear sector stays challenging.</w:t>
            </w:r>
          </w:p>
          <w:p>
            <w:pPr>
              <w:pStyle w:val="Text2"/>
              <w:ind w:left="0"/>
              <w:rPr>
                <w:b/>
                <w:bCs/>
              </w:rPr>
            </w:pPr>
            <w:r>
              <w:rPr>
                <w:b/>
                <w:bCs/>
              </w:rPr>
              <w:t>Furthermore, at the national level, the amount of funding needed to support the projects identified go beyond the level of aid authorised under EU State aid exemption rules.</w:t>
            </w:r>
          </w:p>
          <w:p>
            <w:pPr>
              <w:spacing w:after="0"/>
            </w:pPr>
            <w:r>
              <w:t>If both the General Block Exemption Regulation (GBER)</w:t>
            </w:r>
            <w:r>
              <w:rPr>
                <w:rStyle w:val="Appelnotedebasdep"/>
              </w:rPr>
              <w:footnoteReference w:id="13"/>
            </w:r>
            <w:r>
              <w:t xml:space="preserve"> and the RD&amp;I Framework</w:t>
            </w:r>
            <w:r>
              <w:rPr>
                <w:rStyle w:val="Appelnotedebasdep"/>
              </w:rPr>
              <w:footnoteReference w:id="14"/>
            </w:r>
            <w:r>
              <w:t xml:space="preserve"> can finance R&amp;D projects in the nuclear sector</w:t>
            </w:r>
            <w:r>
              <w:rPr>
                <w:rStyle w:val="Appelnotedebasdep"/>
              </w:rPr>
              <w:footnoteReference w:id="15"/>
            </w:r>
            <w:r>
              <w:t>, these legal bases do not allow for the funding of industrial capacities needed to build new nuclear powerplants.</w:t>
            </w:r>
          </w:p>
          <w:p>
            <w:pPr>
              <w:spacing w:after="0"/>
              <w:jc w:val="left"/>
              <w:rPr>
                <w:szCs w:val="24"/>
                <w:lang w:val="en-US" w:eastAsia="fr-FR"/>
              </w:rPr>
            </w:pPr>
          </w:p>
          <w:p>
            <w:pPr>
              <w:spacing w:after="0"/>
              <w:rPr>
                <w:szCs w:val="24"/>
                <w:lang w:val="en-US" w:eastAsia="fr-FR"/>
              </w:rPr>
            </w:pPr>
            <w:r>
              <w:lastRenderedPageBreak/>
              <w:t>As regards other State aid legal bases, the nuclear sector is partially excluded from the Guidelines on State aid for climate, environmental protection and energy for 2022 (CEEAG)</w:t>
            </w:r>
            <w:r>
              <w:rPr>
                <w:rStyle w:val="Appelnotedebasdep"/>
              </w:rPr>
              <w:footnoteReference w:id="16"/>
            </w:r>
            <w:r>
              <w:t xml:space="preserve"> and is not listed among the sectors set out in the temporary crisis and transition framework (TCTF)</w:t>
            </w:r>
            <w:r>
              <w:rPr>
                <w:rStyle w:val="Appelnotedebasdep"/>
              </w:rPr>
              <w:footnoteReference w:id="17"/>
            </w:r>
            <w:r>
              <w:t>.</w:t>
            </w:r>
            <w:r>
              <w:rPr>
                <w:szCs w:val="24"/>
                <w:lang w:val="en-US" w:eastAsia="fr-FR"/>
              </w:rPr>
              <w:t xml:space="preserve"> </w:t>
            </w:r>
          </w:p>
          <w:p>
            <w:pPr>
              <w:spacing w:after="0"/>
              <w:jc w:val="left"/>
              <w:rPr>
                <w:szCs w:val="24"/>
                <w:lang w:val="en-US" w:eastAsia="fr-FR"/>
              </w:rPr>
            </w:pPr>
          </w:p>
          <w:p>
            <w:pPr>
              <w:spacing w:after="0"/>
            </w:pPr>
            <w:r>
              <w:t>In this context, a Nuclear IPCEI, including in the area of the supply chain development, could contribute to bridging that gap.</w:t>
            </w:r>
          </w:p>
          <w:p>
            <w:pPr>
              <w:spacing w:after="0"/>
            </w:pPr>
          </w:p>
          <w:p>
            <w:pPr>
              <w:pStyle w:val="Titre2"/>
            </w:pPr>
            <w:r>
              <w:t>Would an existing industrial alliance or the creation of an industrial alliance facilitate an EU ecosystem in the relevant area (</w:t>
            </w:r>
            <w:r>
              <w:t>e.g.:</w:t>
            </w:r>
            <w:r>
              <w:t xml:space="preserve"> market creation by regulatory requirements)? </w:t>
            </w:r>
          </w:p>
          <w:p>
            <w:pPr>
              <w:pStyle w:val="Text2"/>
              <w:ind w:left="0"/>
            </w:pPr>
            <w:proofErr w:type="gramStart"/>
            <w:r>
              <w:t>An</w:t>
            </w:r>
            <w:proofErr w:type="gramEnd"/>
            <w:r>
              <w:t xml:space="preserve"> European Industrial Alliance on SMRs was officially launched in February 2024 to support the development of SMRs in the EU, as well as to foster the emergence of an integrated domestic EU industry. An IPCEI in nuclear energy, including in uranium processing and associated fuel services, fuel manufacturing, new materials development, waste management and decommissioning, and this Alliance for SMRs, are also likely to mutually benefit from each other, in their respective efforts to support the development and deployment of nuclear in the EU. </w:t>
            </w:r>
          </w:p>
          <w:p>
            <w:pPr>
              <w:rPr>
                <w:color w:val="000000" w:themeColor="text1"/>
              </w:rPr>
            </w:pPr>
            <w:r>
              <w:rPr>
                <w:color w:val="000000" w:themeColor="text1"/>
              </w:rPr>
              <w:t>The European Industrial Alliance for SMRs was officially launched in February 2024 to facilitate the development, demonstration, and deployment of SMRs and AMRs within the EU in the early 2030s. To support this initiative, eight Technical Working Groups (TWGs) have been established under the Alliance. One of these TWGs is dedicated to analysing the financing challenges, associated risks, and existing funding opportunities, including the potential for IPCEI support, while another one is about the supply chain.</w:t>
            </w:r>
          </w:p>
          <w:p>
            <w:pPr>
              <w:rPr>
                <w:color w:val="000000" w:themeColor="text1"/>
                <w:szCs w:val="24"/>
              </w:rPr>
            </w:pPr>
            <w:r>
              <w:rPr>
                <w:color w:val="000000" w:themeColor="text1"/>
                <w:szCs w:val="24"/>
                <w:lang w:val="en-US"/>
              </w:rPr>
              <w:t>The SMR Alliance could play a role in the design and implementation of an IPCEI. As the Alliance represents the industrial base relevant to SMRs and AMRs, it can provide a robust review process and offer valuable feedback to the participating Member States.</w:t>
            </w:r>
          </w:p>
          <w:p>
            <w:pPr>
              <w:pStyle w:val="Titre2"/>
            </w:pPr>
            <w:r>
              <w:lastRenderedPageBreak/>
              <w:t>What would be the specific benefits of the IPCEI tool in the given area?</w:t>
            </w:r>
          </w:p>
          <w:p>
            <w:pPr>
              <w:pStyle w:val="Text2"/>
              <w:ind w:left="0"/>
            </w:pPr>
            <w:r>
              <w:t xml:space="preserve">With a view to increasing Europe’s industrial capacity and reducing the EU's strategic dependence, the Member States need to pool their strengths, know-how and expertise to develop the construction of several nuclear powerplants in the EU but also in other countries (exports) The IPCEI can help meeting this challenge, by putting at the heart of its implementation a network of cross-border collaboration between European companies active in the nuclear sector. </w:t>
            </w:r>
          </w:p>
          <w:p>
            <w:pPr>
              <w:pStyle w:val="Text2"/>
              <w:ind w:left="0"/>
            </w:pPr>
            <w:r>
              <w:t xml:space="preserve">Given the current restrictions on State aid for nuclear power, and pending any changes in this area, an IPCEI can contribute to accelerate the development of a strong and competitive nuclear supply chain. It is important to note that for the moment it is not possible to support larger companies than SMEs, in the development of nuclear manufacturing capacities, even though it is a technology identified as “Net Zero” in the Net Zero Industry Act. </w:t>
            </w:r>
          </w:p>
          <w:p>
            <w:pPr>
              <w:pStyle w:val="Text2"/>
              <w:ind w:left="0"/>
            </w:pPr>
            <w:r>
              <w:t>Lastly, an IPCEI might be a strong tool to support innovation in the industry, leading to a more competitive supply chain.</w:t>
            </w:r>
          </w:p>
          <w:p>
            <w:pPr>
              <w:pStyle w:val="Titre2"/>
            </w:pPr>
            <w:r>
              <w:t>How will you ensure SME participation in the IPCEI ecosystem?</w:t>
            </w:r>
          </w:p>
          <w:p>
            <w:pPr>
              <w:pStyle w:val="Text2"/>
              <w:ind w:left="0"/>
            </w:pPr>
            <w:r>
              <w:t>The challenge of increasing the industrial capacity in the nuclear sector concerns all companies in the market, from SMEs to large enterprises, all of which will be invited to submit projects when they are selected by the Member States. Dedicated SME forums, consultation and feedback can be powerful instruments to ensure and support SMEs in the IPCEI application.</w:t>
            </w:r>
          </w:p>
        </w:tc>
      </w:tr>
      <w:tr>
        <w:tc>
          <w:tcPr>
            <w:tcW w:w="8594" w:type="dxa"/>
            <w:gridSpan w:val="2"/>
            <w:tcBorders>
              <w:top w:val="single" w:sz="4" w:space="0" w:color="auto"/>
              <w:left w:val="nil"/>
              <w:bottom w:val="single" w:sz="4" w:space="0" w:color="auto"/>
              <w:right w:val="nil"/>
            </w:tcBorders>
          </w:tcPr>
          <w:p>
            <w:pPr>
              <w:rPr>
                <w:i/>
                <w:iCs/>
              </w:rPr>
            </w:pPr>
          </w:p>
        </w:tc>
      </w:tr>
      <w:tr>
        <w:tc>
          <w:tcPr>
            <w:tcW w:w="8594" w:type="dxa"/>
            <w:gridSpan w:val="2"/>
            <w:tcBorders>
              <w:top w:val="single" w:sz="4" w:space="0" w:color="auto"/>
              <w:bottom w:val="single" w:sz="4" w:space="0" w:color="auto"/>
            </w:tcBorders>
            <w:shd w:val="clear" w:color="auto" w:fill="EDEDED" w:themeFill="accent3" w:themeFillTint="33"/>
          </w:tcPr>
          <w:p>
            <w:pPr>
              <w:pStyle w:val="Titre1"/>
            </w:pPr>
            <w:r>
              <w:t>Next steps</w:t>
            </w:r>
          </w:p>
        </w:tc>
      </w:tr>
      <w:tr>
        <w:tc>
          <w:tcPr>
            <w:tcW w:w="8594" w:type="dxa"/>
            <w:gridSpan w:val="2"/>
            <w:tcBorders>
              <w:top w:val="single" w:sz="4" w:space="0" w:color="auto"/>
            </w:tcBorders>
          </w:tcPr>
          <w:p>
            <w:pPr>
              <w:rPr>
                <w:i/>
                <w:iCs/>
              </w:rPr>
            </w:pPr>
            <w:r>
              <w:rPr>
                <w:i/>
                <w:iCs/>
              </w:rPr>
              <w:t xml:space="preserve">The objective of this section is to assess what additional analyses are required for deciding whether to continue working on an IPCEI in the given area. </w:t>
            </w:r>
          </w:p>
          <w:p>
            <w:pPr>
              <w:pStyle w:val="Titre2"/>
              <w:numPr>
                <w:ilvl w:val="1"/>
                <w:numId w:val="50"/>
              </w:numPr>
            </w:pPr>
            <w:r>
              <w:t xml:space="preserve"> Based on the above, should the given area be further considered in-depth for a potential IPCEI?</w:t>
            </w:r>
          </w:p>
          <w:p>
            <w:pPr>
              <w:pStyle w:val="Text2"/>
              <w:ind w:left="0"/>
            </w:pPr>
            <w:r>
              <w:t xml:space="preserve">The Supply chain development, transformation and modernisation of industrial sites theme should be considered in-depth for a potential IPCEI on innovative nuclear technologies together with the other pre-assessed areas. Indeed, the integration of this theme would be relevant, either by contributing to development of innovative modular reactors but also possibly for the construction and maintenance of large reactors. Considering the development of SMRs/AMRs but also existing or future projects of large-scale reactors, the development of new components or innovative production processes could bolster the industry and help Member States decarbonise their economies (“climate neutrality”) and preserve their energy security (“strategic autonomy”). Moreover, issues related to the financing of nuclear projects as well as coordination issues on the completion of necessary investments would justify a public intervention at EU level in this area. Whatever the application field (SMRs/AMRs, fusion, medical applications), a supply chain for nuclear components is subject to challenges specific to the use of nuclear technologies such as specific requirements of safety or </w:t>
            </w:r>
            <w:proofErr w:type="gramStart"/>
            <w:r>
              <w:t>long time</w:t>
            </w:r>
            <w:proofErr w:type="gramEnd"/>
            <w:r>
              <w:t xml:space="preserve"> operation in demanding environments that need common </w:t>
            </w:r>
            <w:r>
              <w:lastRenderedPageBreak/>
              <w:t xml:space="preserve">approaches. A collaboration on this topic would be relevant in regards to the other potential themes to be included in the IPCEI that may benefit from advancements in the supply chain, but also in terms of EU cross-border cooperation and integration of the supply chain, so that Member States could benefit from their mutual expertise. </w:t>
            </w:r>
          </w:p>
          <w:p>
            <w:pPr>
              <w:pStyle w:val="Titre2"/>
              <w:numPr>
                <w:ilvl w:val="1"/>
                <w:numId w:val="50"/>
              </w:numPr>
            </w:pPr>
            <w:r>
              <w:t xml:space="preserve"> What additional analyses/information would be needed to refine the assessment? </w:t>
            </w:r>
          </w:p>
          <w:p>
            <w:pPr>
              <w:pStyle w:val="Text2"/>
            </w:pPr>
            <w:r>
              <w:t xml:space="preserve">During the design phase, interested Member States should seek to confirm the availability of projects and their ability and willingness to provide those with financial support on their national budget within the common timeline that will be approved between Member States for this IPCEI on Innovative nuclear technologies. Member States should also confirm the eligibility of these projects given IPCEIs’ requirements in terms of intellectual and industrial property </w:t>
            </w:r>
            <w:proofErr w:type="spellStart"/>
            <w:r>
              <w:t>spillover</w:t>
            </w:r>
            <w:proofErr w:type="spellEnd"/>
            <w:r>
              <w:t xml:space="preserve"> and cross-border collaborations, while complying with the highest nuclear safety, security and safeguard standards.</w:t>
            </w:r>
          </w:p>
        </w:tc>
      </w:tr>
      <w:bookmarkEnd w:id="3"/>
    </w:tbl>
    <w:p>
      <w:pPr>
        <w:pStyle w:val="NoteHead"/>
      </w:pPr>
    </w:p>
    <w:p>
      <w:pPr>
        <w:spacing w:after="0"/>
        <w:jc w:val="left"/>
        <w:rPr>
          <w:b/>
          <w:smallCaps/>
        </w:rPr>
      </w:pPr>
      <w:r>
        <w:br w:type="page"/>
      </w:r>
    </w:p>
    <w:p>
      <w:pPr>
        <w:pStyle w:val="Titre1"/>
        <w:numPr>
          <w:ilvl w:val="0"/>
          <w:numId w:val="0"/>
        </w:numPr>
        <w:ind w:left="482" w:hanging="482"/>
        <w:jc w:val="center"/>
        <w:rPr>
          <w:lang w:val="en-IE"/>
        </w:rPr>
      </w:pPr>
      <w:r>
        <w:rPr>
          <w:lang w:val="en-IE"/>
        </w:rPr>
        <w:lastRenderedPageBreak/>
        <w:t>Annex: link with IPCEI Communication eligibility criteria</w:t>
      </w:r>
    </w:p>
    <w:p>
      <w:pPr>
        <w:pStyle w:val="Text1"/>
        <w:rPr>
          <w:lang w:val="en-I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1"/>
        <w:gridCol w:w="284"/>
        <w:gridCol w:w="4357"/>
      </w:tblGrid>
      <w:tr>
        <w:tc>
          <w:tcPr>
            <w:tcW w:w="3961" w:type="dxa"/>
            <w:tcBorders>
              <w:bottom w:val="single" w:sz="4" w:space="0" w:color="auto"/>
            </w:tcBorders>
          </w:tcPr>
          <w:p>
            <w:pPr>
              <w:rPr>
                <w:b/>
                <w:bCs/>
              </w:rPr>
            </w:pPr>
            <w:r>
              <w:rPr>
                <w:b/>
                <w:bCs/>
              </w:rPr>
              <w:t xml:space="preserve">Eligibility Criteria for IPCEI </w:t>
            </w:r>
          </w:p>
        </w:tc>
        <w:tc>
          <w:tcPr>
            <w:tcW w:w="284" w:type="dxa"/>
            <w:tcBorders>
              <w:bottom w:val="single" w:sz="4" w:space="0" w:color="auto"/>
            </w:tcBorders>
          </w:tcPr>
          <w:p>
            <w:pPr>
              <w:rPr>
                <w:b/>
                <w:bCs/>
              </w:rPr>
            </w:pPr>
          </w:p>
        </w:tc>
        <w:tc>
          <w:tcPr>
            <w:tcW w:w="4357" w:type="dxa"/>
            <w:tcBorders>
              <w:bottom w:val="single" w:sz="4" w:space="0" w:color="auto"/>
            </w:tcBorders>
          </w:tcPr>
          <w:p>
            <w:pPr>
              <w:rPr>
                <w:b/>
                <w:bCs/>
              </w:rPr>
            </w:pPr>
            <w:r>
              <w:rPr>
                <w:b/>
                <w:bCs/>
              </w:rPr>
              <w:t>Assessment in fiche</w:t>
            </w:r>
          </w:p>
        </w:tc>
      </w:tr>
      <w:tr>
        <w:tc>
          <w:tcPr>
            <w:tcW w:w="3961" w:type="dxa"/>
            <w:tcBorders>
              <w:top w:val="single" w:sz="4" w:space="0" w:color="auto"/>
            </w:tcBorders>
            <w:shd w:val="clear" w:color="auto" w:fill="EDEDED" w:themeFill="accent3" w:themeFillTint="33"/>
          </w:tcPr>
          <w:p>
            <w:r>
              <w:t xml:space="preserve">3.1. Definition </w:t>
            </w:r>
          </w:p>
        </w:tc>
        <w:tc>
          <w:tcPr>
            <w:tcW w:w="284" w:type="dxa"/>
            <w:tcBorders>
              <w:top w:val="single" w:sz="4" w:space="0" w:color="auto"/>
            </w:tcBorders>
            <w:shd w:val="clear" w:color="auto" w:fill="EDEDED" w:themeFill="accent3" w:themeFillTint="33"/>
          </w:tcPr>
          <w:p/>
        </w:tc>
        <w:tc>
          <w:tcPr>
            <w:tcW w:w="4357" w:type="dxa"/>
            <w:tcBorders>
              <w:top w:val="single" w:sz="4" w:space="0" w:color="auto"/>
            </w:tcBorders>
            <w:shd w:val="clear" w:color="auto" w:fill="EDEDED" w:themeFill="accent3" w:themeFillTint="33"/>
          </w:tcPr>
          <w:p/>
        </w:tc>
      </w:tr>
      <w:tr>
        <w:tc>
          <w:tcPr>
            <w:tcW w:w="3961" w:type="dxa"/>
          </w:tcPr>
          <w:p>
            <w:r>
              <w:t>Integrated project (§13)</w:t>
            </w:r>
          </w:p>
        </w:tc>
        <w:tc>
          <w:tcPr>
            <w:tcW w:w="284" w:type="dxa"/>
          </w:tcPr>
          <w:p/>
        </w:tc>
        <w:tc>
          <w:tcPr>
            <w:tcW w:w="4357" w:type="dxa"/>
          </w:tcPr>
          <w:p>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shd w:val="clear" w:color="auto" w:fill="EDEDED" w:themeFill="accent3" w:themeFillTint="33"/>
          </w:tcPr>
          <w:p>
            <w:r>
              <w:t>3.2 Common European Interest</w:t>
            </w:r>
          </w:p>
        </w:tc>
        <w:tc>
          <w:tcPr>
            <w:tcW w:w="284" w:type="dxa"/>
            <w:shd w:val="clear" w:color="auto" w:fill="EDEDED" w:themeFill="accent3" w:themeFillTint="33"/>
          </w:tcPr>
          <w:p/>
        </w:tc>
        <w:tc>
          <w:tcPr>
            <w:tcW w:w="4357" w:type="dxa"/>
            <w:shd w:val="clear" w:color="auto" w:fill="EDEDED" w:themeFill="accent3" w:themeFillTint="33"/>
          </w:tcPr>
          <w:p/>
        </w:tc>
      </w:tr>
      <w:tr>
        <w:tc>
          <w:tcPr>
            <w:tcW w:w="3961" w:type="dxa"/>
          </w:tcPr>
          <w:p>
            <w:r>
              <w:t>Contribution to EU objectives and strategies (§14)</w:t>
            </w:r>
          </w:p>
        </w:tc>
        <w:tc>
          <w:tcPr>
            <w:tcW w:w="284" w:type="dxa"/>
          </w:tcPr>
          <w:p/>
        </w:tc>
        <w:tc>
          <w:tcPr>
            <w:tcW w:w="4357" w:type="dxa"/>
          </w:tcPr>
          <w:p>
            <w:r>
              <w:t>Section 2. Political and industrial strategy objectives (question 2.2)</w:t>
            </w:r>
          </w:p>
        </w:tc>
      </w:tr>
      <w:tr>
        <w:tc>
          <w:tcPr>
            <w:tcW w:w="3961" w:type="dxa"/>
          </w:tcPr>
          <w:p>
            <w:r>
              <w:t>Overcoming important systemic or market failures, or societal challenges (§15)</w:t>
            </w:r>
          </w:p>
        </w:tc>
        <w:tc>
          <w:tcPr>
            <w:tcW w:w="284" w:type="dxa"/>
          </w:tcPr>
          <w:p/>
        </w:tc>
        <w:tc>
          <w:tcPr>
            <w:tcW w:w="4357" w:type="dxa"/>
          </w:tcPr>
          <w:p>
            <w:r>
              <w:t>Section 2. Political and industrial policy objectives (question 4.1)</w:t>
            </w:r>
          </w:p>
        </w:tc>
      </w:tr>
      <w:tr>
        <w:tc>
          <w:tcPr>
            <w:tcW w:w="3961" w:type="dxa"/>
          </w:tcPr>
          <w:p>
            <w:r>
              <w:t>Minimum 4 Member States (§16)</w:t>
            </w:r>
          </w:p>
        </w:tc>
        <w:tc>
          <w:tcPr>
            <w:tcW w:w="284" w:type="dxa"/>
          </w:tcPr>
          <w:p/>
        </w:tc>
        <w:tc>
          <w:tcPr>
            <w:tcW w:w="4357" w:type="dxa"/>
          </w:tcPr>
          <w:p>
            <w:pPr>
              <w:rPr>
                <w:i/>
                <w:iCs/>
              </w:rPr>
            </w:pPr>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tcPr>
          <w:p>
            <w:r>
              <w:t>Spill-overs to economy and society (§18)</w:t>
            </w:r>
          </w:p>
        </w:tc>
        <w:tc>
          <w:tcPr>
            <w:tcW w:w="284" w:type="dxa"/>
          </w:tcPr>
          <w:p/>
        </w:tc>
        <w:tc>
          <w:tcPr>
            <w:tcW w:w="4357" w:type="dxa"/>
          </w:tcPr>
          <w:p>
            <w:r>
              <w:t xml:space="preserve">Section 3. EU dimension (question 3.2) </w:t>
            </w:r>
          </w:p>
        </w:tc>
      </w:tr>
      <w:tr>
        <w:tc>
          <w:tcPr>
            <w:tcW w:w="3961" w:type="dxa"/>
          </w:tcPr>
          <w:p>
            <w:r>
              <w:t>Co-financing by the beneficiaries (§19)</w:t>
            </w:r>
          </w:p>
        </w:tc>
        <w:tc>
          <w:tcPr>
            <w:tcW w:w="284" w:type="dxa"/>
          </w:tcPr>
          <w:p/>
        </w:tc>
        <w:tc>
          <w:tcPr>
            <w:tcW w:w="4357" w:type="dxa"/>
          </w:tcPr>
          <w:p>
            <w:r>
              <w:rPr>
                <w:i/>
                <w:iCs/>
              </w:rPr>
              <w:t xml:space="preserve">To be assessed later in design phase but some elements could be included in </w:t>
            </w:r>
            <w:r>
              <w:t xml:space="preserve">4. Market dimension </w:t>
            </w:r>
            <w:r>
              <w:rPr>
                <w:i/>
                <w:iCs/>
              </w:rPr>
              <w:t xml:space="preserve">section </w:t>
            </w:r>
            <w:r>
              <w:t>(question 4.1)</w:t>
            </w:r>
          </w:p>
        </w:tc>
      </w:tr>
      <w:tr>
        <w:tc>
          <w:tcPr>
            <w:tcW w:w="3961" w:type="dxa"/>
          </w:tcPr>
          <w:p>
            <w:r>
              <w:t>Compatibility with DNSH (Is there an EU value chain to mobilise? (§20</w:t>
            </w:r>
            <w:r>
              <w:rPr>
                <w:i/>
                <w:iCs/>
              </w:rPr>
              <w:t>)</w:t>
            </w:r>
          </w:p>
        </w:tc>
        <w:tc>
          <w:tcPr>
            <w:tcW w:w="284" w:type="dxa"/>
          </w:tcPr>
          <w:p>
            <w:pPr>
              <w:rPr>
                <w:i/>
                <w:iCs/>
              </w:rPr>
            </w:pPr>
          </w:p>
        </w:tc>
        <w:tc>
          <w:tcPr>
            <w:tcW w:w="4357" w:type="dxa"/>
          </w:tcPr>
          <w:p>
            <w:pPr>
              <w:rPr>
                <w:i/>
                <w:iCs/>
              </w:rPr>
            </w:pPr>
            <w:r>
              <w:rPr>
                <w:i/>
                <w:iCs/>
              </w:rPr>
              <w:t>To be assessed in design phase</w:t>
            </w:r>
          </w:p>
        </w:tc>
      </w:tr>
      <w:tr>
        <w:tc>
          <w:tcPr>
            <w:tcW w:w="3961" w:type="dxa"/>
          </w:tcPr>
          <w:p>
            <w:r>
              <w:t>Addressing a clearly identified and significant strategic dependency (§21)</w:t>
            </w:r>
          </w:p>
        </w:tc>
        <w:tc>
          <w:tcPr>
            <w:tcW w:w="284" w:type="dxa"/>
          </w:tcPr>
          <w:p>
            <w:pPr>
              <w:rPr>
                <w:i/>
                <w:iCs/>
              </w:rPr>
            </w:pPr>
          </w:p>
        </w:tc>
        <w:tc>
          <w:tcPr>
            <w:tcW w:w="4357" w:type="dxa"/>
          </w:tcPr>
          <w:p>
            <w:r>
              <w:t>Section 3 EU dimension (question 3.3)</w:t>
            </w:r>
          </w:p>
        </w:tc>
      </w:tr>
      <w:tr>
        <w:tc>
          <w:tcPr>
            <w:tcW w:w="3961" w:type="dxa"/>
          </w:tcPr>
          <w:p>
            <w:r>
              <w:t>Major innovative nature, in the light of the state of the art in the sector (§22)</w:t>
            </w:r>
          </w:p>
        </w:tc>
        <w:tc>
          <w:tcPr>
            <w:tcW w:w="284" w:type="dxa"/>
          </w:tcPr>
          <w:p/>
        </w:tc>
        <w:tc>
          <w:tcPr>
            <w:tcW w:w="4357" w:type="dxa"/>
          </w:tcPr>
          <w:p>
            <w:r>
              <w:t>Section 2. Political and industrial policy objectives (question 2.3)</w:t>
            </w:r>
          </w:p>
        </w:tc>
      </w:tr>
      <w:tr>
        <w:tc>
          <w:tcPr>
            <w:tcW w:w="3961" w:type="dxa"/>
          </w:tcPr>
          <w:p>
            <w:r>
              <w:t>First industrial deployment (§23-24)</w:t>
            </w:r>
          </w:p>
        </w:tc>
        <w:tc>
          <w:tcPr>
            <w:tcW w:w="284" w:type="dxa"/>
          </w:tcPr>
          <w:p/>
        </w:tc>
        <w:tc>
          <w:tcPr>
            <w:tcW w:w="4357" w:type="dxa"/>
          </w:tcPr>
          <w:p>
            <w:r>
              <w:t>Section 2. Political and industrial policy objectives (question 2.3)</w:t>
            </w:r>
          </w:p>
        </w:tc>
      </w:tr>
      <w:tr>
        <w:tc>
          <w:tcPr>
            <w:tcW w:w="3961" w:type="dxa"/>
            <w:shd w:val="clear" w:color="auto" w:fill="EDEDED" w:themeFill="accent3" w:themeFillTint="33"/>
          </w:tcPr>
          <w:p>
            <w:r>
              <w:t>3.3 Importance of the project</w:t>
            </w:r>
          </w:p>
        </w:tc>
        <w:tc>
          <w:tcPr>
            <w:tcW w:w="284" w:type="dxa"/>
            <w:shd w:val="clear" w:color="auto" w:fill="EDEDED" w:themeFill="accent3" w:themeFillTint="33"/>
          </w:tcPr>
          <w:p/>
        </w:tc>
        <w:tc>
          <w:tcPr>
            <w:tcW w:w="4357" w:type="dxa"/>
            <w:shd w:val="clear" w:color="auto" w:fill="EDEDED" w:themeFill="accent3" w:themeFillTint="33"/>
          </w:tcPr>
          <w:p/>
        </w:tc>
      </w:tr>
      <w:tr>
        <w:tc>
          <w:tcPr>
            <w:tcW w:w="3961" w:type="dxa"/>
          </w:tcPr>
          <w:p>
            <w:r>
              <w:t>Importance of the project (§26)</w:t>
            </w:r>
          </w:p>
        </w:tc>
        <w:tc>
          <w:tcPr>
            <w:tcW w:w="284" w:type="dxa"/>
          </w:tcPr>
          <w:p/>
        </w:tc>
        <w:tc>
          <w:tcPr>
            <w:tcW w:w="4357" w:type="dxa"/>
          </w:tcPr>
          <w:p>
            <w:r>
              <w:t>Section 2. Political and industrial policy objectives (question 2.1)</w:t>
            </w:r>
          </w:p>
        </w:tc>
      </w:tr>
      <w:tr>
        <w:tc>
          <w:tcPr>
            <w:tcW w:w="3961" w:type="dxa"/>
          </w:tcPr>
          <w:p/>
        </w:tc>
        <w:tc>
          <w:tcPr>
            <w:tcW w:w="284" w:type="dxa"/>
          </w:tcPr>
          <w:p/>
        </w:tc>
        <w:tc>
          <w:tcPr>
            <w:tcW w:w="4357" w:type="dxa"/>
          </w:tcPr>
          <w:p/>
        </w:tc>
      </w:tr>
      <w:tr>
        <w:tc>
          <w:tcPr>
            <w:tcW w:w="3961" w:type="dxa"/>
          </w:tcPr>
          <w:p/>
        </w:tc>
        <w:tc>
          <w:tcPr>
            <w:tcW w:w="284" w:type="dxa"/>
          </w:tcPr>
          <w:p/>
        </w:tc>
        <w:tc>
          <w:tcPr>
            <w:tcW w:w="4357" w:type="dxa"/>
          </w:tcPr>
          <w:p/>
        </w:tc>
      </w:tr>
    </w:tbl>
    <w:p/>
    <w:sectPr>
      <w:headerReference w:type="default" r:id="rId16"/>
      <w:footerReference w:type="even" r:id="rId17"/>
      <w:footerReference w:type="default" r:id="rId18"/>
      <w:footerReference w:type="first" r:id="rId1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rPr>
        <w:noProof/>
      </w:rPr>
      <mc:AlternateContent>
        <mc:Choice Requires="wps">
          <w:drawing>
            <wp:anchor distT="0" distB="0" distL="0" distR="0" simplePos="0" relativeHeight="251658241" behindDoc="0" locked="0" layoutInCell="1" allowOverlap="1">
              <wp:simplePos x="635" y="635"/>
              <wp:positionH relativeFrom="page">
                <wp:align>center</wp:align>
              </wp:positionH>
              <wp:positionV relativeFrom="page">
                <wp:align>bottom</wp:align>
              </wp:positionV>
              <wp:extent cx="809625" cy="323850"/>
              <wp:effectExtent l="0" t="0" r="9525" b="0"/>
              <wp:wrapNone/>
              <wp:docPr id="1346782612" name="Casella di testo 2"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9625" cy="323850"/>
                      </a:xfrm>
                      <a:prstGeom prst="rect">
                        <a:avLst/>
                      </a:prstGeom>
                      <a:noFill/>
                      <a:ln>
                        <a:noFill/>
                      </a:ln>
                    </wps:spPr>
                    <wps:txbx>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id="_x0000_t202" coordsize="21600,21600" o:spt="202" path="m,l,21600r21600,l21600,xe">
              <v:stroke joinstyle="miter"/>
              <v:path gradientshapeok="t" o:connecttype="rect"/>
            </v:shapetype>
            <v:shape id="Casella di testo 2" o:spid="_x0000_s1026" type="#_x0000_t202" alt="Interno – Internal" style="position:absolute;left:0;text-align:left;margin-left:0;margin-top:0;width:63.75pt;height:25.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" filled="f" stroked="f">
              <v:textbox style="mso-fit-shape-to-text:t" inset="0,0,0,15pt">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v:textbox>
              <w10:wrap anchorx="page" anchory="page"/>
            </v:shape>
          </w:pict>
        </mc:Fallback>
      </mc:AlternateContent>
    </w:r>
    <w:r>
      <w:fldChar w:fldCharType="begin"/>
    </w:r>
    <w:r>
      <w:instrText>PAGE   \* MERGEFORMAT</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rPr>
        <w:noProof/>
      </w:rPr>
      <mc:AlternateContent>
        <mc:Choice Requires="wps">
          <w:drawing>
            <wp:anchor distT="0" distB="0" distL="0" distR="0" simplePos="0" relativeHeight="251658242" behindDoc="0" locked="0" layoutInCell="1" allowOverlap="1">
              <wp:simplePos x="635" y="635"/>
              <wp:positionH relativeFrom="page">
                <wp:align>center</wp:align>
              </wp:positionH>
              <wp:positionV relativeFrom="page">
                <wp:align>bottom</wp:align>
              </wp:positionV>
              <wp:extent cx="809625" cy="323850"/>
              <wp:effectExtent l="0" t="0" r="9525" b="0"/>
              <wp:wrapNone/>
              <wp:docPr id="1747442516" name="Casella di testo 3"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9625" cy="323850"/>
                      </a:xfrm>
                      <a:prstGeom prst="rect">
                        <a:avLst/>
                      </a:prstGeom>
                      <a:noFill/>
                      <a:ln>
                        <a:noFill/>
                      </a:ln>
                    </wps:spPr>
                    <wps:txbx>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id="_x0000_t202" coordsize="21600,21600" o:spt="202" path="m,l,21600r21600,l21600,xe">
              <v:stroke joinstyle="miter"/>
              <v:path gradientshapeok="t" o:connecttype="rect"/>
            </v:shapetype>
            <v:shape id="Casella di testo 3" o:spid="_x0000_s1027" type="#_x0000_t202" alt="Interno – Internal" style="position:absolute;left:0;text-align:left;margin-left:0;margin-top:0;width:63.75pt;height:25.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" filled="f" stroked="f">
              <v:textbox style="mso-fit-shape-to-text:t" inset="0,0,0,15pt">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v:textbox>
              <w10:wrap anchorx="page" anchory="page"/>
            </v:shape>
          </w:pict>
        </mc:Fallback>
      </mc:AlternateContent>
    </w: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Pieddepage"/>
    </w:pPr>
    <w:r>
      <w:rPr>
        <w:noProof/>
      </w:rPr>
      <mc:AlternateContent>
        <mc:Choice Requires="wps">
          <w:drawing>
            <wp:anchor distT="0" distB="0" distL="0" distR="0" simplePos="0" relativeHeight="251658240" behindDoc="0" locked="0" layoutInCell="1" allowOverlap="1">
              <wp:simplePos x="635" y="635"/>
              <wp:positionH relativeFrom="page">
                <wp:align>center</wp:align>
              </wp:positionH>
              <wp:positionV relativeFrom="page">
                <wp:align>bottom</wp:align>
              </wp:positionV>
              <wp:extent cx="809625" cy="323850"/>
              <wp:effectExtent l="0" t="0" r="9525" b="0"/>
              <wp:wrapNone/>
              <wp:docPr id="1853808826" name="Casella di testo 1"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09625" cy="323850"/>
                      </a:xfrm>
                      <a:prstGeom prst="rect">
                        <a:avLst/>
                      </a:prstGeom>
                      <a:noFill/>
                      <a:ln>
                        <a:noFill/>
                      </a:ln>
                    </wps:spPr>
                    <wps:txbx>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w:pict>
            <v:shapetype id="_x0000_t202" coordsize="21600,21600" o:spt="202" path="m,l,21600r21600,l21600,xe">
              <v:stroke joinstyle="miter"/>
              <v:path gradientshapeok="t" o:connecttype="rect"/>
            </v:shapetype>
            <v:shape id="Casella di testo 1" o:spid="_x0000_s1028" type="#_x0000_t202" alt="Interno – Internal" style="position:absolute;margin-left:0;margin-top:0;width:63.75pt;height:25.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" filled="f" stroked="f">
              <v:textbox style="mso-fit-shape-to-text:t" inset="0,0,0,15pt">
                <w:txbxContent>
                  <w:p>
                    <w:pPr>
                      <w:spacing w:after="0"/>
                      <w:rPr>
                        <w:rFonts w:ascii="Calibri" w:eastAsia="Calibri" w:hAnsi="Calibri" w:cs="Calibri"/>
                        <w:noProof/>
                        <w:color w:val="737373"/>
                        <w:sz w:val="18"/>
                        <w:szCs w:val="18"/>
                      </w:rPr>
                    </w:pPr>
                    <w:r>
                      <w:rPr>
                        <w:rFonts w:ascii="Calibri" w:eastAsia="Calibri" w:hAnsi="Calibri" w:cs="Calibri"/>
                        <w:noProof/>
                        <w:color w:val="737373"/>
                        <w:sz w:val="18"/>
                        <w:szCs w:val="18"/>
                      </w:rPr>
                      <w:t>Interno – Internal</w:t>
                    </w:r>
                  </w:p>
                </w:txbxContent>
              </v:textbox>
              <w10:wrap anchorx="page" anchory="page"/>
            </v:shape>
          </w:pict>
        </mc:Fallback>
      </mc:AlternateContent>
    </w:r>
    <w:sdt>
      <w:sdtPr>
        <w:alias w:val="Email Addresses - Standard"/>
        <w:tag w:val="lzJg88SOkI751vM69s8xi7-MjGgt6e7BqMZJMWY5fWzc6"/>
        <w:id w:val="1163820549"/>
        <w:showingPlcHdr/>
        <w:dataBinding w:xpath="/Author/Email" w:storeItemID="{83EC7CF0-EFC4-4B33-8950-26071AC6E01B}"/>
        <w:text w:multiLine="1"/>
      </w:sdtPr>
      <w:sdtContent>
        <w: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Notedebasdepage"/>
        <w:rPr>
          <w:lang w:val="en-US"/>
        </w:rPr>
      </w:pPr>
      <w:r>
        <w:rPr>
          <w:rStyle w:val="Appelnotedebasdep"/>
        </w:rPr>
        <w:footnoteRef/>
      </w:r>
      <w:r>
        <w:t xml:space="preserve"> Additional projects which would qualify as infrastructure projects according to the Commission terminology could be considered in the Design phase, provided they can contribute to the roadmap of the IPCEI.</w:t>
      </w:r>
    </w:p>
  </w:footnote>
  <w:footnote w:id="3">
    <w:p>
      <w:pPr>
        <w:pStyle w:val="Notedebasdepage"/>
        <w:rPr>
          <w:lang w:val="en-US"/>
        </w:rPr>
      </w:pPr>
      <w:r>
        <w:rPr>
          <w:rStyle w:val="Appelnotedebasdep"/>
        </w:rPr>
        <w:footnoteRef/>
      </w:r>
      <w:r>
        <w:rPr>
          <w:lang w:val="en-US"/>
        </w:rPr>
        <w:t xml:space="preserve"> </w:t>
      </w:r>
      <w:hyperlink r:id="rId1" w:history="1">
        <w:r>
          <w:rPr>
            <w:rStyle w:val="Lienhypertexte"/>
            <w:lang w:val="en-US"/>
          </w:rPr>
          <w:t>https://world-nuclear.org/information-library/country-profiles/others/european-union</w:t>
        </w:r>
      </w:hyperlink>
      <w:r>
        <w:rPr>
          <w:lang w:val="en-US"/>
        </w:rPr>
        <w:t xml:space="preserve"> </w:t>
      </w:r>
    </w:p>
  </w:footnote>
  <w:footnote w:id="4">
    <w:p>
      <w:pPr>
        <w:pStyle w:val="Notedebasdepage"/>
        <w:rPr>
          <w:lang w:val="en-US"/>
        </w:rPr>
      </w:pPr>
      <w:r>
        <w:rPr>
          <w:rStyle w:val="Appelnotedebasdep"/>
        </w:rPr>
        <w:footnoteRef/>
      </w:r>
      <w:r>
        <w:t xml:space="preserve"> S</w:t>
      </w:r>
      <w:r>
        <w:rPr>
          <w:bCs/>
        </w:rPr>
        <w:t xml:space="preserve">ee </w:t>
      </w:r>
      <w:hyperlink r:id="rId2" w:history="1">
        <w:r>
          <w:rPr>
            <w:rStyle w:val="Lienhypertexte"/>
            <w:bCs/>
          </w:rPr>
          <w:t>Recommendation of the Joint European Forum for Important Projects of Common European Interest on the roles of associated and indirect partners in an IPCEI ecosystem</w:t>
        </w:r>
      </w:hyperlink>
      <w:r>
        <w:t>.</w:t>
      </w:r>
    </w:p>
  </w:footnote>
  <w:footnote w:id="5">
    <w:p>
      <w:pPr>
        <w:pStyle w:val="Notedebasdepage"/>
      </w:pPr>
      <w:r>
        <w:rPr>
          <w:rStyle w:val="Appelnotedebasdep"/>
        </w:rPr>
        <w:footnoteRef/>
      </w:r>
      <w:r>
        <w:t xml:space="preserve"> </w:t>
      </w:r>
      <w:hyperlink r:id="rId3" w:history="1">
        <w:r>
          <w:rPr>
            <w:rStyle w:val="Lienhypertexte"/>
          </w:rPr>
          <w:t>“How is EU electricity produced and sold?</w:t>
        </w:r>
        <w:proofErr w:type="gramStart"/>
        <w:r>
          <w:rPr>
            <w:rStyle w:val="Lienhypertexte"/>
          </w:rPr>
          <w:t>”,“</w:t>
        </w:r>
        <w:proofErr w:type="gramEnd"/>
      </w:hyperlink>
      <w:r>
        <w:t xml:space="preserve"> Council of the European Union, 04/2024</w:t>
      </w:r>
    </w:p>
  </w:footnote>
  <w:footnote w:id="6">
    <w:p>
      <w:pPr>
        <w:pStyle w:val="Notedebasdepage"/>
      </w:pPr>
      <w:r>
        <w:rPr>
          <w:rStyle w:val="Appelnotedebasdep"/>
        </w:rPr>
        <w:footnoteRef/>
      </w:r>
      <w:r>
        <w:t xml:space="preserve"> See pre-assessment fiche on Innovative Nuclear Power Generation SMRs (LW-SMR/AMR) and Enabling Activities for further details on LW-SMR/AMR.</w:t>
      </w:r>
    </w:p>
  </w:footnote>
  <w:footnote w:id="7">
    <w:p>
      <w:pPr>
        <w:pStyle w:val="Notedebasdepage"/>
      </w:pPr>
      <w:r>
        <w:rPr>
          <w:rStyle w:val="Appelnotedebasdep"/>
        </w:rPr>
        <w:footnoteRef/>
      </w:r>
      <w:r>
        <w:t xml:space="preserve"> </w:t>
      </w:r>
      <w:hyperlink r:id="rId4" w:anchor=":~:text=Brussels%2C%2025%20April%202019%3A%20The,study%20by%20Deloitte%20released%20today.&amp;text=triggers%20%E2%82%AC9.3%20billion%20in,nuclear%20and%20connected%20economic%20sectors" w:history="1">
        <w:r>
          <w:rPr>
            <w:rStyle w:val="Lienhypertexte"/>
          </w:rPr>
          <w:t>https://www.nucleareurope.eu/press-release/investing-in-low-carbon-nuclear-generates-jobs-and-economic-growth-in-europe/#:~:text=Brussels%2C%2025%20April%202019%3A%20The,study%20by%20Deloitte%20released%20today.&amp;text=triggers%20%E2%82%AC9.3%20billion%20in,nuclear%20and%20connected%20economic%20sectors</w:t>
        </w:r>
      </w:hyperlink>
      <w:r>
        <w:t xml:space="preserve">. </w:t>
      </w:r>
    </w:p>
  </w:footnote>
  <w:footnote w:id="8">
    <w:p>
      <w:pPr>
        <w:pStyle w:val="Notedebasdepage"/>
        <w:jc w:val="left"/>
      </w:pPr>
      <w:r>
        <w:rPr>
          <w:rStyle w:val="Appelnotedebasdep"/>
        </w:rPr>
        <w:footnoteRef/>
      </w:r>
      <w:r>
        <w:t xml:space="preserve"> Regular upgrades without an innovative dimension of existing facilities and the development of newer versions of existing products do not qualify as first industrial deployment.</w:t>
      </w:r>
    </w:p>
  </w:footnote>
  <w:footnote w:id="9">
    <w:p>
      <w:pPr>
        <w:pStyle w:val="Notedebasdepage"/>
      </w:pPr>
      <w:r>
        <w:rPr>
          <w:rStyle w:val="Appelnotedebasdep"/>
        </w:rPr>
        <w:footnoteRef/>
      </w:r>
      <w:r>
        <w:t xml:space="preserve"> </w:t>
      </w:r>
      <w:hyperlink r:id="rId5" w:history="1">
        <w:r>
          <w:rPr>
            <w:rStyle w:val="Lienhypertexte"/>
          </w:rPr>
          <w:t>https://single-market-economy.ec.europa.eu/industry/industrial-alliances/european-industrial-alliance-small-modular-reactors_en</w:t>
        </w:r>
      </w:hyperlink>
      <w:r>
        <w:t xml:space="preserve">. </w:t>
      </w:r>
    </w:p>
  </w:footnote>
  <w:footnote w:id="10">
    <w:p>
      <w:pPr>
        <w:pStyle w:val="Notedebasdepage"/>
        <w:rPr>
          <w:sz w:val="16"/>
          <w:szCs w:val="16"/>
          <w:lang w:val="en-US"/>
        </w:rPr>
      </w:pPr>
      <w:r>
        <w:rPr>
          <w:rStyle w:val="Appelnotedebasdep"/>
        </w:rPr>
        <w:footnoteRef/>
      </w:r>
      <w:r>
        <w:rPr>
          <w:lang w:val="en-US"/>
        </w:rPr>
        <w:t xml:space="preserve"> </w:t>
      </w:r>
      <w:r>
        <w:rPr>
          <w:sz w:val="16"/>
          <w:szCs w:val="16"/>
          <w:lang w:val="en-US"/>
        </w:rPr>
        <w:t>According to Regulation (EU) 2021/523</w:t>
      </w:r>
      <w:r>
        <w:rPr>
          <w:sz w:val="16"/>
          <w:szCs w:val="16"/>
        </w:rPr>
        <w:t>, “</w:t>
      </w:r>
      <w:r>
        <w:rPr>
          <w:i/>
          <w:iCs/>
          <w:sz w:val="16"/>
          <w:szCs w:val="16"/>
        </w:rPr>
        <w:t>the decommissioning, operation, adaptation or construction of nuclear power stations</w:t>
      </w:r>
      <w:r>
        <w:rPr>
          <w:sz w:val="16"/>
          <w:szCs w:val="16"/>
        </w:rPr>
        <w:t>” cannot benefit from the “</w:t>
      </w:r>
      <w:proofErr w:type="spellStart"/>
      <w:r>
        <w:rPr>
          <w:sz w:val="16"/>
          <w:szCs w:val="16"/>
        </w:rPr>
        <w:t>InvestEU</w:t>
      </w:r>
      <w:proofErr w:type="spellEnd"/>
      <w:r>
        <w:rPr>
          <w:sz w:val="16"/>
          <w:szCs w:val="16"/>
        </w:rPr>
        <w:t>” guarantee, but allows funding, for example, to research reactors, front end of fuel lifecycle.</w:t>
      </w:r>
    </w:p>
  </w:footnote>
  <w:footnote w:id="11">
    <w:p>
      <w:pPr>
        <w:pStyle w:val="Notedebasdepage"/>
        <w:rPr>
          <w:lang w:val="en-US"/>
        </w:rPr>
      </w:pPr>
      <w:r>
        <w:rPr>
          <w:rStyle w:val="Appelnotedebasdep"/>
          <w:sz w:val="16"/>
          <w:szCs w:val="16"/>
        </w:rPr>
        <w:footnoteRef/>
      </w:r>
      <w:r>
        <w:rPr>
          <w:sz w:val="16"/>
          <w:szCs w:val="16"/>
        </w:rPr>
        <w:t xml:space="preserve"> </w:t>
      </w:r>
      <w:r>
        <w:rPr>
          <w:sz w:val="16"/>
          <w:szCs w:val="16"/>
          <w:lang w:val="en-US"/>
        </w:rPr>
        <w:t>According to Article 7 of the Regulation (EU) 2021/1058, </w:t>
      </w:r>
      <w:r>
        <w:rPr>
          <w:sz w:val="16"/>
          <w:szCs w:val="16"/>
        </w:rPr>
        <w:t xml:space="preserve">« </w:t>
      </w:r>
      <w:r>
        <w:rPr>
          <w:i/>
          <w:iCs/>
          <w:sz w:val="16"/>
          <w:szCs w:val="16"/>
        </w:rPr>
        <w:t>the decommissioning or the construction of nuclear power stations</w:t>
      </w:r>
      <w:r>
        <w:rPr>
          <w:sz w:val="16"/>
          <w:szCs w:val="16"/>
        </w:rPr>
        <w:t xml:space="preserve"> » are excluded from its scope.</w:t>
      </w:r>
    </w:p>
  </w:footnote>
  <w:footnote w:id="12">
    <w:p>
      <w:pPr>
        <w:pStyle w:val="Notedebasdepage"/>
        <w:rPr>
          <w:sz w:val="16"/>
          <w:szCs w:val="16"/>
          <w:lang w:val="en-US"/>
        </w:rPr>
      </w:pPr>
      <w:r>
        <w:rPr>
          <w:rStyle w:val="Appelnotedebasdep"/>
          <w:sz w:val="16"/>
          <w:szCs w:val="16"/>
        </w:rPr>
        <w:footnoteRef/>
      </w:r>
      <w:r>
        <w:rPr>
          <w:sz w:val="16"/>
          <w:szCs w:val="16"/>
        </w:rPr>
        <w:t xml:space="preserve"> </w:t>
      </w:r>
      <w:r>
        <w:rPr>
          <w:sz w:val="16"/>
          <w:szCs w:val="16"/>
          <w:lang w:val="en-US"/>
        </w:rPr>
        <w:t>Article 9 of Regulation (EU) 2021/1056 </w:t>
      </w:r>
      <w:r>
        <w:rPr>
          <w:sz w:val="16"/>
          <w:szCs w:val="16"/>
        </w:rPr>
        <w:t xml:space="preserve">excludes « </w:t>
      </w:r>
      <w:r>
        <w:rPr>
          <w:i/>
          <w:iCs/>
          <w:sz w:val="16"/>
          <w:szCs w:val="16"/>
        </w:rPr>
        <w:t xml:space="preserve">the decommissioning or the construction of nuclear power stations </w:t>
      </w:r>
      <w:r>
        <w:rPr>
          <w:sz w:val="16"/>
          <w:szCs w:val="16"/>
        </w:rPr>
        <w:t>».</w:t>
      </w:r>
    </w:p>
  </w:footnote>
  <w:footnote w:id="13">
    <w:p>
      <w:pPr>
        <w:pStyle w:val="Notedebasdepage"/>
      </w:pPr>
      <w:r>
        <w:rPr>
          <w:rStyle w:val="Appelnotedebasdep"/>
        </w:rPr>
        <w:footnoteRef/>
      </w:r>
      <w:r>
        <w:t xml:space="preserve"> Regulation (EU) No 651/2014 of 17 June 2014 declaring certain categories of aid compatible with the internal market in application of Articles 107 and 108 of the Treaty Text with EEA relevance: </w:t>
      </w:r>
      <w:hyperlink r:id="rId6" w:history="1">
        <w:r>
          <w:rPr>
            <w:rStyle w:val="Lienhypertexte"/>
          </w:rPr>
          <w:t>https://eur-lex.europa.eu/legal-content/EN/TXT/?uri=celex%3A32014R0651</w:t>
        </w:r>
      </w:hyperlink>
      <w:r>
        <w:t xml:space="preserve">. </w:t>
      </w:r>
    </w:p>
  </w:footnote>
  <w:footnote w:id="14">
    <w:p>
      <w:pPr>
        <w:pStyle w:val="Notedebasdepage"/>
      </w:pPr>
      <w:r>
        <w:rPr>
          <w:rStyle w:val="Appelnotedebasdep"/>
        </w:rPr>
        <w:footnoteRef/>
      </w:r>
      <w:r>
        <w:t xml:space="preserve"> Communication from the Commission Framework for State aid for research and development and innovation 2022/C 414/01: </w:t>
      </w:r>
      <w:hyperlink r:id="rId7" w:history="1">
        <w:r>
          <w:rPr>
            <w:rStyle w:val="Lienhypertexte"/>
          </w:rPr>
          <w:t>https://eur-lex.europa.eu/legal-content/EN/TXT/?uri=celex%3A52022XC1028%2803%29</w:t>
        </w:r>
      </w:hyperlink>
      <w:r>
        <w:t xml:space="preserve"> </w:t>
      </w:r>
    </w:p>
  </w:footnote>
  <w:footnote w:id="15">
    <w:p>
      <w:pPr>
        <w:pStyle w:val="Notedebasdepage"/>
        <w:rPr>
          <w:sz w:val="16"/>
          <w:szCs w:val="16"/>
        </w:rPr>
      </w:pPr>
      <w:r>
        <w:rPr>
          <w:rStyle w:val="Appelnotedebasdep"/>
          <w:sz w:val="16"/>
          <w:szCs w:val="16"/>
        </w:rPr>
        <w:footnoteRef/>
      </w:r>
      <w:r>
        <w:rPr>
          <w:sz w:val="16"/>
          <w:szCs w:val="16"/>
        </w:rPr>
        <w:t xml:space="preserve"> Provided that the investment project is linked to an RDI project (from fundamental research to experimental development) and aid for RDI projects do not finance work that exceeds technological maturity level 8.</w:t>
      </w:r>
    </w:p>
  </w:footnote>
  <w:footnote w:id="16">
    <w:p>
      <w:pPr>
        <w:pStyle w:val="Notedebasdepage"/>
      </w:pPr>
      <w:r>
        <w:rPr>
          <w:rStyle w:val="Appelnotedebasdep"/>
        </w:rPr>
        <w:footnoteRef/>
      </w:r>
      <w:r>
        <w:t xml:space="preserve"> Guidelines on State aid for climate, environmental protection and energy 2022 (2022/C 80/01</w:t>
      </w:r>
      <w:proofErr w:type="gramStart"/>
      <w:r>
        <w:t>) :</w:t>
      </w:r>
      <w:proofErr w:type="gramEnd"/>
      <w:r>
        <w:t xml:space="preserve"> </w:t>
      </w:r>
      <w:hyperlink r:id="rId8" w:history="1">
        <w:r>
          <w:rPr>
            <w:rStyle w:val="Lienhypertexte"/>
          </w:rPr>
          <w:t>https://eur-lex.europa.eu/legal-content/EN/TXT/PDF/?uri=CELEX:52022XC0218(03)</w:t>
        </w:r>
      </w:hyperlink>
      <w:r>
        <w:t xml:space="preserve"> </w:t>
      </w:r>
    </w:p>
  </w:footnote>
  <w:footnote w:id="17">
    <w:p>
      <w:pPr>
        <w:pStyle w:val="Notedebasdepage"/>
        <w:rPr>
          <w:sz w:val="16"/>
          <w:szCs w:val="16"/>
          <w:lang w:val="en-US"/>
        </w:rPr>
      </w:pPr>
      <w:r>
        <w:rPr>
          <w:rStyle w:val="Appelnotedebasdep"/>
          <w:sz w:val="16"/>
          <w:szCs w:val="16"/>
        </w:rPr>
        <w:footnoteRef/>
      </w:r>
      <w:r>
        <w:rPr>
          <w:sz w:val="16"/>
          <w:szCs w:val="16"/>
        </w:rPr>
        <w:t xml:space="preserve"> See point 85 of Article 2.8 of the TCTF and section 2.5 of the TCTF which aims to support the deployment of renewable energy sources and therefore, by definition, only covers those sources qualified as such in Article 2 of the Renewable Energy Directive</w:t>
      </w:r>
      <w:r>
        <w:rPr>
          <w:rStyle w:val="Appelnotedebasdep"/>
          <w:sz w:val="16"/>
          <w:szCs w:val="16"/>
        </w:rPr>
        <w:footnoteRef/>
      </w:r>
      <w:r>
        <w:rPr>
          <w:sz w:val="16"/>
          <w:szCs w:val="16"/>
        </w:rPr>
        <w:t xml:space="preserve"> (wind, solar, geothermal, etc.).</w:t>
      </w:r>
      <w:r>
        <w:t xml:space="preserve"> </w:t>
      </w:r>
      <w:r>
        <w:rPr>
          <w:sz w:val="16"/>
          <w:szCs w:val="16"/>
        </w:rPr>
        <w:t>Section 2.6 of the TCTF, neither, is not suited for projects in the nuclear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DE3380"/>
    <w:lvl w:ilvl="0">
      <w:start w:val="1"/>
      <w:numFmt w:val="decimal"/>
      <w:pStyle w:val="Listenumros5"/>
      <w:lvlText w:val="%1."/>
      <w:lvlJc w:val="left"/>
      <w:pPr>
        <w:tabs>
          <w:tab w:val="num" w:pos="1492"/>
        </w:tabs>
        <w:ind w:left="1492" w:hanging="360"/>
      </w:pPr>
    </w:lvl>
  </w:abstractNum>
  <w:abstractNum w:abstractNumId="1" w15:restartNumberingAfterBreak="0">
    <w:nsid w:val="FFFFFF80"/>
    <w:multiLevelType w:val="singleLevel"/>
    <w:tmpl w:val="F8F20B20"/>
    <w:lvl w:ilvl="0">
      <w:start w:val="1"/>
      <w:numFmt w:val="bullet"/>
      <w:pStyle w:val="Listepuces5"/>
      <w:lvlText w:val=""/>
      <w:lvlJc w:val="left"/>
      <w:pPr>
        <w:tabs>
          <w:tab w:val="num" w:pos="1492"/>
        </w:tabs>
        <w:ind w:left="1492" w:hanging="360"/>
      </w:pPr>
      <w:rPr>
        <w:rFonts w:ascii="Symbol" w:hAnsi="Symbol" w:hint="default"/>
      </w:rPr>
    </w:lvl>
  </w:abstractNum>
  <w:abstractNum w:abstractNumId="2" w15:restartNumberingAfterBreak="0">
    <w:nsid w:val="0A2900F7"/>
    <w:multiLevelType w:val="multilevel"/>
    <w:tmpl w:val="63BEF5B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C8D2027"/>
    <w:multiLevelType w:val="hybridMultilevel"/>
    <w:tmpl w:val="D2522634"/>
    <w:lvl w:ilvl="0" w:tplc="CB44A8B6">
      <w:numFmt w:val="bullet"/>
      <w:lvlText w:val=""/>
      <w:lvlJc w:val="left"/>
      <w:pPr>
        <w:ind w:left="720" w:hanging="360"/>
      </w:pPr>
      <w:rPr>
        <w:rFonts w:ascii="Wingdings" w:eastAsia="Times New Roman" w:hAnsi="Wingdings" w:cs="Times New Roman" w:hint="default"/>
        <w:color w:val="333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AB03CF"/>
    <w:multiLevelType w:val="hybridMultilevel"/>
    <w:tmpl w:val="8FF2DF94"/>
    <w:lvl w:ilvl="0" w:tplc="C8A60DB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FB7115"/>
    <w:multiLevelType w:val="multilevel"/>
    <w:tmpl w:val="8536DEE4"/>
    <w:name w:val="ListNumber3Numbering"/>
    <w:lvl w:ilvl="0">
      <w:start w:val="1"/>
      <w:numFmt w:val="decimal"/>
      <w:pStyle w:val="Listenumros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0762CE9"/>
    <w:multiLevelType w:val="hybridMultilevel"/>
    <w:tmpl w:val="072699E0"/>
    <w:lvl w:ilvl="0" w:tplc="1C8ED5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0B7201"/>
    <w:multiLevelType w:val="multilevel"/>
    <w:tmpl w:val="4FF868D2"/>
    <w:name w:val="ListNumberNumbering"/>
    <w:lvl w:ilvl="0">
      <w:start w:val="1"/>
      <w:numFmt w:val="decimal"/>
      <w:pStyle w:val="Listenum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A156FCE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E3C0CAA0"/>
    <w:name w:val="ListBullet4Numbering"/>
    <w:lvl w:ilvl="0">
      <w:start w:val="1"/>
      <w:numFmt w:val="bullet"/>
      <w:pStyle w:val="Listepuces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3D0A16"/>
    <w:multiLevelType w:val="multilevel"/>
    <w:tmpl w:val="29224A48"/>
    <w:name w:val="ListBullet3Numbering"/>
    <w:lvl w:ilvl="0">
      <w:start w:val="1"/>
      <w:numFmt w:val="bullet"/>
      <w:pStyle w:val="Listepuces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2F0AC5"/>
    <w:multiLevelType w:val="multilevel"/>
    <w:tmpl w:val="6D0AB796"/>
    <w:name w:val="ListNumber2Numbering"/>
    <w:lvl w:ilvl="0">
      <w:start w:val="1"/>
      <w:numFmt w:val="decimal"/>
      <w:pStyle w:val="Listenumros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8756A57"/>
    <w:multiLevelType w:val="multilevel"/>
    <w:tmpl w:val="91481E54"/>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13" w15:restartNumberingAfterBreak="0">
    <w:nsid w:val="1C7B624F"/>
    <w:multiLevelType w:val="multilevel"/>
    <w:tmpl w:val="5E0A17D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D6676BC"/>
    <w:multiLevelType w:val="hybridMultilevel"/>
    <w:tmpl w:val="8CA667EA"/>
    <w:lvl w:ilvl="0" w:tplc="570CBE5E">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5A65FC"/>
    <w:multiLevelType w:val="multilevel"/>
    <w:tmpl w:val="91481E54"/>
    <w:lvl w:ilvl="0">
      <w:start w:val="6"/>
      <w:numFmt w:val="decimal"/>
      <w:lvlText w:val="%1."/>
      <w:lvlJc w:val="left"/>
      <w:pPr>
        <w:ind w:left="720" w:hanging="360"/>
      </w:pPr>
      <w:rPr>
        <w:rFonts w:hint="default"/>
      </w:rPr>
    </w:lvl>
    <w:lvl w:ilvl="1">
      <w:start w:val="1"/>
      <w:numFmt w:val="decimal"/>
      <w:isLgl/>
      <w:lvlText w:val="%1.%2."/>
      <w:lvlJc w:val="left"/>
      <w:pPr>
        <w:ind w:left="842"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16" w15:restartNumberingAfterBreak="0">
    <w:nsid w:val="1FAE1956"/>
    <w:multiLevelType w:val="hybridMultilevel"/>
    <w:tmpl w:val="47F85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0B3C94"/>
    <w:multiLevelType w:val="hybridMultilevel"/>
    <w:tmpl w:val="3026A3F2"/>
    <w:lvl w:ilvl="0" w:tplc="4A4481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8B5821"/>
    <w:multiLevelType w:val="hybridMultilevel"/>
    <w:tmpl w:val="86468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69E2E5F"/>
    <w:multiLevelType w:val="hybridMultilevel"/>
    <w:tmpl w:val="4194397A"/>
    <w:lvl w:ilvl="0" w:tplc="885CD34A">
      <w:start w:val="1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7C604D8"/>
    <w:multiLevelType w:val="hybridMultilevel"/>
    <w:tmpl w:val="7500E54A"/>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8DFDF8"/>
    <w:multiLevelType w:val="multilevel"/>
    <w:tmpl w:val="1D465A64"/>
    <w:name w:val="ListBullet2Numbering"/>
    <w:lvl w:ilvl="0">
      <w:start w:val="1"/>
      <w:numFmt w:val="bullet"/>
      <w:pStyle w:val="Listepuces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E3"/>
    <w:multiLevelType w:val="multilevel"/>
    <w:tmpl w:val="0AC0C0D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D293CF4"/>
    <w:multiLevelType w:val="multilevel"/>
    <w:tmpl w:val="C304E79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6324F1E"/>
    <w:multiLevelType w:val="multilevel"/>
    <w:tmpl w:val="127EBD9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76A0C00"/>
    <w:multiLevelType w:val="hybridMultilevel"/>
    <w:tmpl w:val="35485CB6"/>
    <w:lvl w:ilvl="0" w:tplc="446C541C">
      <w:start w:val="1"/>
      <w:numFmt w:val="bullet"/>
      <w:lvlText w:val=""/>
      <w:lvlJc w:val="left"/>
      <w:pPr>
        <w:ind w:left="720" w:hanging="360"/>
      </w:pPr>
      <w:rPr>
        <w:rFonts w:ascii="Symbol" w:hAnsi="Symbol"/>
      </w:rPr>
    </w:lvl>
    <w:lvl w:ilvl="1" w:tplc="19D6AD66">
      <w:start w:val="1"/>
      <w:numFmt w:val="bullet"/>
      <w:lvlText w:val=""/>
      <w:lvlJc w:val="left"/>
      <w:pPr>
        <w:ind w:left="720" w:hanging="360"/>
      </w:pPr>
      <w:rPr>
        <w:rFonts w:ascii="Symbol" w:hAnsi="Symbol"/>
      </w:rPr>
    </w:lvl>
    <w:lvl w:ilvl="2" w:tplc="A866CFA6">
      <w:start w:val="1"/>
      <w:numFmt w:val="bullet"/>
      <w:lvlText w:val=""/>
      <w:lvlJc w:val="left"/>
      <w:pPr>
        <w:ind w:left="720" w:hanging="360"/>
      </w:pPr>
      <w:rPr>
        <w:rFonts w:ascii="Symbol" w:hAnsi="Symbol"/>
      </w:rPr>
    </w:lvl>
    <w:lvl w:ilvl="3" w:tplc="ABEADA0A">
      <w:start w:val="1"/>
      <w:numFmt w:val="bullet"/>
      <w:lvlText w:val=""/>
      <w:lvlJc w:val="left"/>
      <w:pPr>
        <w:ind w:left="720" w:hanging="360"/>
      </w:pPr>
      <w:rPr>
        <w:rFonts w:ascii="Symbol" w:hAnsi="Symbol"/>
      </w:rPr>
    </w:lvl>
    <w:lvl w:ilvl="4" w:tplc="689CAEE0">
      <w:start w:val="1"/>
      <w:numFmt w:val="bullet"/>
      <w:lvlText w:val=""/>
      <w:lvlJc w:val="left"/>
      <w:pPr>
        <w:ind w:left="720" w:hanging="360"/>
      </w:pPr>
      <w:rPr>
        <w:rFonts w:ascii="Symbol" w:hAnsi="Symbol"/>
      </w:rPr>
    </w:lvl>
    <w:lvl w:ilvl="5" w:tplc="60A049F4">
      <w:start w:val="1"/>
      <w:numFmt w:val="bullet"/>
      <w:lvlText w:val=""/>
      <w:lvlJc w:val="left"/>
      <w:pPr>
        <w:ind w:left="720" w:hanging="360"/>
      </w:pPr>
      <w:rPr>
        <w:rFonts w:ascii="Symbol" w:hAnsi="Symbol"/>
      </w:rPr>
    </w:lvl>
    <w:lvl w:ilvl="6" w:tplc="65443734">
      <w:start w:val="1"/>
      <w:numFmt w:val="bullet"/>
      <w:lvlText w:val=""/>
      <w:lvlJc w:val="left"/>
      <w:pPr>
        <w:ind w:left="720" w:hanging="360"/>
      </w:pPr>
      <w:rPr>
        <w:rFonts w:ascii="Symbol" w:hAnsi="Symbol"/>
      </w:rPr>
    </w:lvl>
    <w:lvl w:ilvl="7" w:tplc="1EE2249C">
      <w:start w:val="1"/>
      <w:numFmt w:val="bullet"/>
      <w:lvlText w:val=""/>
      <w:lvlJc w:val="left"/>
      <w:pPr>
        <w:ind w:left="720" w:hanging="360"/>
      </w:pPr>
      <w:rPr>
        <w:rFonts w:ascii="Symbol" w:hAnsi="Symbol"/>
      </w:rPr>
    </w:lvl>
    <w:lvl w:ilvl="8" w:tplc="D0445BD2">
      <w:start w:val="1"/>
      <w:numFmt w:val="bullet"/>
      <w:lvlText w:val=""/>
      <w:lvlJc w:val="left"/>
      <w:pPr>
        <w:ind w:left="720" w:hanging="360"/>
      </w:pPr>
      <w:rPr>
        <w:rFonts w:ascii="Symbol" w:hAnsi="Symbol"/>
      </w:rPr>
    </w:lvl>
  </w:abstractNum>
  <w:abstractNum w:abstractNumId="26" w15:restartNumberingAfterBreak="0">
    <w:nsid w:val="37CB1E1C"/>
    <w:multiLevelType w:val="multilevel"/>
    <w:tmpl w:val="AC84F03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A7730C4"/>
    <w:multiLevelType w:val="multilevel"/>
    <w:tmpl w:val="D0DACB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29E662A"/>
    <w:multiLevelType w:val="multilevel"/>
    <w:tmpl w:val="812E588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6821DF1"/>
    <w:multiLevelType w:val="hybridMultilevel"/>
    <w:tmpl w:val="236AFC08"/>
    <w:lvl w:ilvl="0" w:tplc="87C2BBA4">
      <w:numFmt w:val="bullet"/>
      <w:lvlText w:val="-"/>
      <w:lvlJc w:val="left"/>
      <w:pPr>
        <w:ind w:left="1437" w:hanging="360"/>
      </w:pPr>
      <w:rPr>
        <w:rFonts w:ascii="Times New Roman" w:eastAsia="Times New Roman" w:hAnsi="Times New Roman" w:cs="Times New Roman"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30" w15:restartNumberingAfterBreak="0">
    <w:nsid w:val="4E1A63DF"/>
    <w:multiLevelType w:val="multilevel"/>
    <w:tmpl w:val="FB66019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4ADC3948"/>
    <w:name w:val="ListBulletNumbering"/>
    <w:lvl w:ilvl="0">
      <w:start w:val="1"/>
      <w:numFmt w:val="bullet"/>
      <w:pStyle w:val="Listepuces"/>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DF6A90E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CAD85D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AE67517"/>
    <w:multiLevelType w:val="hybridMultilevel"/>
    <w:tmpl w:val="9D66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77472E"/>
    <w:multiLevelType w:val="multilevel"/>
    <w:tmpl w:val="D65AFB72"/>
    <w:name w:val="ListNumber4Numbering"/>
    <w:lvl w:ilvl="0">
      <w:start w:val="1"/>
      <w:numFmt w:val="decimal"/>
      <w:pStyle w:val="Listenumros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7C65145E"/>
    <w:multiLevelType w:val="multilevel"/>
    <w:tmpl w:val="A9349A46"/>
    <w:name w:val="EurolookHeading"/>
    <w:lvl w:ilvl="0">
      <w:start w:val="1"/>
      <w:numFmt w:val="decimal"/>
      <w:pStyle w:val="Titre1"/>
      <w:lvlText w:val="%1."/>
      <w:lvlJc w:val="left"/>
      <w:pPr>
        <w:tabs>
          <w:tab w:val="num" w:pos="482"/>
        </w:tabs>
        <w:ind w:left="482" w:hanging="482"/>
      </w:pPr>
    </w:lvl>
    <w:lvl w:ilvl="1">
      <w:start w:val="1"/>
      <w:numFmt w:val="decimal"/>
      <w:pStyle w:val="Titre2"/>
      <w:lvlText w:val="%1.%2."/>
      <w:lvlJc w:val="left"/>
      <w:pPr>
        <w:tabs>
          <w:tab w:val="num" w:pos="1077"/>
        </w:tabs>
        <w:ind w:left="1077" w:hanging="595"/>
      </w:pPr>
    </w:lvl>
    <w:lvl w:ilvl="2">
      <w:start w:val="1"/>
      <w:numFmt w:val="decimal"/>
      <w:pStyle w:val="Titre3"/>
      <w:lvlText w:val="%1.%2.%3."/>
      <w:lvlJc w:val="left"/>
      <w:pPr>
        <w:tabs>
          <w:tab w:val="num" w:pos="1922"/>
        </w:tabs>
        <w:ind w:left="1922" w:hanging="845"/>
      </w:pPr>
    </w:lvl>
    <w:lvl w:ilvl="3">
      <w:start w:val="1"/>
      <w:numFmt w:val="decimal"/>
      <w:pStyle w:val="Titre4"/>
      <w:lvlText w:val="%1.%2.%3.%4."/>
      <w:lvlJc w:val="left"/>
      <w:pPr>
        <w:tabs>
          <w:tab w:val="num" w:pos="2880"/>
        </w:tabs>
        <w:ind w:left="2880" w:hanging="958"/>
      </w:pPr>
    </w:lvl>
    <w:lvl w:ilvl="4">
      <w:start w:val="1"/>
      <w:numFmt w:val="decimal"/>
      <w:pStyle w:val="Titre5"/>
      <w:lvlText w:val="%1.%2.%3.%4.%5."/>
      <w:lvlJc w:val="left"/>
      <w:pPr>
        <w:tabs>
          <w:tab w:val="num" w:pos="2880"/>
        </w:tabs>
        <w:ind w:left="3838" w:hanging="958"/>
      </w:pPr>
    </w:lvl>
    <w:lvl w:ilvl="5">
      <w:start w:val="1"/>
      <w:numFmt w:val="decimal"/>
      <w:pStyle w:val="Titre6"/>
      <w:lvlText w:val="%1.%2.%3.%4.%5.%6."/>
      <w:lvlJc w:val="left"/>
      <w:pPr>
        <w:tabs>
          <w:tab w:val="num" w:pos="2880"/>
        </w:tabs>
        <w:ind w:left="3838" w:hanging="958"/>
      </w:pPr>
    </w:lvl>
    <w:lvl w:ilvl="6">
      <w:start w:val="1"/>
      <w:numFmt w:val="decimal"/>
      <w:pStyle w:val="Titre7"/>
      <w:lvlText w:val="%1.%2.%3.%4.%5.%6.%7."/>
      <w:lvlJc w:val="left"/>
      <w:pPr>
        <w:tabs>
          <w:tab w:val="num" w:pos="2880"/>
        </w:tabs>
        <w:ind w:left="3838" w:hanging="958"/>
      </w:pPr>
    </w:lvl>
    <w:lvl w:ilvl="7">
      <w:start w:val="1"/>
      <w:numFmt w:val="decimal"/>
      <w:pStyle w:val="Titre8"/>
      <w:lvlText w:val="%1.%2.%3.%4.%5.%6.%7.%8."/>
      <w:lvlJc w:val="left"/>
      <w:pPr>
        <w:tabs>
          <w:tab w:val="num" w:pos="2880"/>
        </w:tabs>
        <w:ind w:left="3838" w:hanging="958"/>
      </w:pPr>
    </w:lvl>
    <w:lvl w:ilvl="8">
      <w:start w:val="1"/>
      <w:numFmt w:val="decimal"/>
      <w:pStyle w:val="Titre9"/>
      <w:lvlText w:val="%1.%2.%3.%4.%5.%6.%7.%8.%9."/>
      <w:lvlJc w:val="left"/>
      <w:pPr>
        <w:tabs>
          <w:tab w:val="num" w:pos="2880"/>
        </w:tabs>
        <w:ind w:left="3838" w:hanging="958"/>
      </w:pPr>
    </w:lvl>
  </w:abstractNum>
  <w:abstractNum w:abstractNumId="3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24"/>
  </w:num>
  <w:num w:numId="3">
    <w:abstractNumId w:val="13"/>
  </w:num>
  <w:num w:numId="4">
    <w:abstractNumId w:val="26"/>
  </w:num>
  <w:num w:numId="5">
    <w:abstractNumId w:val="32"/>
  </w:num>
  <w:num w:numId="6">
    <w:abstractNumId w:val="35"/>
  </w:num>
  <w:num w:numId="7">
    <w:abstractNumId w:val="5"/>
  </w:num>
  <w:num w:numId="8">
    <w:abstractNumId w:val="11"/>
  </w:num>
  <w:num w:numId="9">
    <w:abstractNumId w:val="28"/>
  </w:num>
  <w:num w:numId="10">
    <w:abstractNumId w:val="7"/>
  </w:num>
  <w:num w:numId="11">
    <w:abstractNumId w:val="9"/>
  </w:num>
  <w:num w:numId="12">
    <w:abstractNumId w:val="10"/>
  </w:num>
  <w:num w:numId="13">
    <w:abstractNumId w:val="21"/>
  </w:num>
  <w:num w:numId="14">
    <w:abstractNumId w:val="27"/>
  </w:num>
  <w:num w:numId="15">
    <w:abstractNumId w:val="31"/>
  </w:num>
  <w:num w:numId="16">
    <w:abstractNumId w:val="36"/>
  </w:num>
  <w:num w:numId="17">
    <w:abstractNumId w:val="22"/>
  </w:num>
  <w:num w:numId="18">
    <w:abstractNumId w:val="23"/>
  </w:num>
  <w:num w:numId="19">
    <w:abstractNumId w:val="37"/>
  </w:num>
  <w:num w:numId="20">
    <w:abstractNumId w:val="30"/>
  </w:num>
  <w:num w:numId="21">
    <w:abstractNumId w:val="33"/>
  </w:num>
  <w:num w:numId="22">
    <w:abstractNumId w:val="8"/>
  </w:num>
  <w:num w:numId="23">
    <w:abstractNumId w:val="1"/>
  </w:num>
  <w:num w:numId="24">
    <w:abstractNumId w:val="0"/>
  </w:num>
  <w:num w:numId="25">
    <w:abstractNumId w:val="6"/>
  </w:num>
  <w:num w:numId="26">
    <w:abstractNumId w:val="36"/>
  </w:num>
  <w:num w:numId="27">
    <w:abstractNumId w:val="36"/>
  </w:num>
  <w:num w:numId="28">
    <w:abstractNumId w:val="36"/>
  </w:num>
  <w:num w:numId="29">
    <w:abstractNumId w:val="36"/>
  </w:num>
  <w:num w:numId="30">
    <w:abstractNumId w:val="36"/>
  </w:num>
  <w:num w:numId="31">
    <w:abstractNumId w:val="25"/>
  </w:num>
  <w:num w:numId="32">
    <w:abstractNumId w:val="36"/>
  </w:num>
  <w:num w:numId="33">
    <w:abstractNumId w:val="36"/>
  </w:num>
  <w:num w:numId="34">
    <w:abstractNumId w:val="36"/>
  </w:num>
  <w:num w:numId="35">
    <w:abstractNumId w:val="36"/>
  </w:num>
  <w:num w:numId="36">
    <w:abstractNumId w:val="36"/>
  </w:num>
  <w:num w:numId="37">
    <w:abstractNumId w:val="36"/>
  </w:num>
  <w:num w:numId="38">
    <w:abstractNumId w:val="36"/>
  </w:num>
  <w:num w:numId="39">
    <w:abstractNumId w:val="29"/>
  </w:num>
  <w:num w:numId="40">
    <w:abstractNumId w:val="16"/>
  </w:num>
  <w:num w:numId="41">
    <w:abstractNumId w:val="34"/>
  </w:num>
  <w:num w:numId="42">
    <w:abstractNumId w:val="18"/>
  </w:num>
  <w:num w:numId="43">
    <w:abstractNumId w:val="19"/>
  </w:num>
  <w:num w:numId="44">
    <w:abstractNumId w:val="4"/>
  </w:num>
  <w:num w:numId="45">
    <w:abstractNumId w:val="3"/>
  </w:num>
  <w:num w:numId="46">
    <w:abstractNumId w:val="14"/>
  </w:num>
  <w:num w:numId="47">
    <w:abstractNumId w:val="20"/>
  </w:num>
  <w:num w:numId="4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06D6617-A3D2-4993-A1ED-2BE317EF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Titre1">
    <w:name w:val="heading 1"/>
    <w:basedOn w:val="Normal"/>
    <w:next w:val="Text1"/>
    <w:uiPriority w:val="1"/>
    <w:qFormat/>
    <w:pPr>
      <w:keepNext/>
      <w:numPr>
        <w:numId w:val="16"/>
      </w:numPr>
      <w:spacing w:before="240"/>
      <w:outlineLvl w:val="0"/>
    </w:pPr>
    <w:rPr>
      <w:b/>
      <w:smallCaps/>
    </w:rPr>
  </w:style>
  <w:style w:type="paragraph" w:styleId="Titre2">
    <w:name w:val="heading 2"/>
    <w:basedOn w:val="Normal"/>
    <w:next w:val="Text2"/>
    <w:link w:val="Titre2Car"/>
    <w:uiPriority w:val="1"/>
    <w:qFormat/>
    <w:pPr>
      <w:keepNext/>
      <w:numPr>
        <w:ilvl w:val="1"/>
        <w:numId w:val="16"/>
      </w:numPr>
      <w:outlineLvl w:val="1"/>
    </w:pPr>
    <w:rPr>
      <w:b/>
    </w:rPr>
  </w:style>
  <w:style w:type="paragraph" w:styleId="Titre3">
    <w:name w:val="heading 3"/>
    <w:basedOn w:val="Normal"/>
    <w:next w:val="Text3"/>
    <w:uiPriority w:val="1"/>
    <w:qFormat/>
    <w:pPr>
      <w:keepNext/>
      <w:numPr>
        <w:ilvl w:val="2"/>
        <w:numId w:val="16"/>
      </w:numPr>
      <w:outlineLvl w:val="2"/>
    </w:pPr>
    <w:rPr>
      <w:i/>
    </w:rPr>
  </w:style>
  <w:style w:type="paragraph" w:styleId="Titre4">
    <w:name w:val="heading 4"/>
    <w:basedOn w:val="Normal"/>
    <w:next w:val="Text4"/>
    <w:uiPriority w:val="1"/>
    <w:qFormat/>
    <w:pPr>
      <w:keepNext/>
      <w:numPr>
        <w:ilvl w:val="3"/>
        <w:numId w:val="16"/>
      </w:numPr>
      <w:outlineLvl w:val="3"/>
    </w:pPr>
  </w:style>
  <w:style w:type="paragraph" w:styleId="Titre5">
    <w:name w:val="heading 5"/>
    <w:basedOn w:val="Normal"/>
    <w:next w:val="Normal"/>
    <w:semiHidden/>
    <w:qFormat/>
    <w:pPr>
      <w:keepNext/>
      <w:numPr>
        <w:ilvl w:val="4"/>
        <w:numId w:val="16"/>
      </w:numPr>
      <w:outlineLvl w:val="4"/>
    </w:pPr>
  </w:style>
  <w:style w:type="paragraph" w:styleId="Titre6">
    <w:name w:val="heading 6"/>
    <w:basedOn w:val="Normal"/>
    <w:next w:val="Normal"/>
    <w:semiHidden/>
    <w:qFormat/>
    <w:pPr>
      <w:keepNext/>
      <w:numPr>
        <w:ilvl w:val="5"/>
        <w:numId w:val="16"/>
      </w:numPr>
      <w:outlineLvl w:val="5"/>
    </w:pPr>
  </w:style>
  <w:style w:type="paragraph" w:styleId="Titre7">
    <w:name w:val="heading 7"/>
    <w:basedOn w:val="Normal"/>
    <w:next w:val="Normal"/>
    <w:qFormat/>
    <w:pPr>
      <w:keepNext/>
      <w:numPr>
        <w:ilvl w:val="6"/>
        <w:numId w:val="16"/>
      </w:numPr>
      <w:outlineLvl w:val="6"/>
    </w:pPr>
  </w:style>
  <w:style w:type="paragraph" w:styleId="Titre8">
    <w:name w:val="heading 8"/>
    <w:basedOn w:val="Normal"/>
    <w:next w:val="Normal"/>
    <w:qFormat/>
    <w:pPr>
      <w:keepNext/>
      <w:numPr>
        <w:ilvl w:val="7"/>
        <w:numId w:val="16"/>
      </w:numPr>
      <w:outlineLvl w:val="7"/>
    </w:pPr>
  </w:style>
  <w:style w:type="paragraph" w:styleId="Titre9">
    <w:name w:val="heading 9"/>
    <w:basedOn w:val="Normal"/>
    <w:next w:val="Normal"/>
    <w:qFormat/>
    <w:pPr>
      <w:keepNext/>
      <w:numPr>
        <w:ilvl w:val="8"/>
        <w:numId w:val="16"/>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odyPlaceholderText">
    <w:name w:val="BodyPlaceholderText"/>
    <w:basedOn w:val="Textedelespacerserv"/>
    <w:semiHidden/>
    <w:rPr>
      <w:vanish w:val="0"/>
      <w:color w:val="3366CC"/>
    </w:rPr>
  </w:style>
  <w:style w:type="character" w:customStyle="1" w:styleId="CrossReference">
    <w:name w:val="Cross Reference"/>
    <w:basedOn w:val="Policepardfau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Textedelespacerserv">
    <w:name w:val="Placeholder Text"/>
    <w:basedOn w:val="Policepardfaut"/>
    <w:semiHidden/>
    <w:rPr>
      <w:vanish w:val="0"/>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Lgende">
    <w:name w:val="caption"/>
    <w:basedOn w:val="Normal"/>
    <w:next w:val="Normal"/>
    <w:semiHidden/>
    <w:pPr>
      <w:spacing w:before="160"/>
    </w:pPr>
    <w:rPr>
      <w:i/>
      <w:sz w:val="22"/>
    </w:rPr>
  </w:style>
  <w:style w:type="paragraph" w:styleId="Formuledepolitesse">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Notedefin">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Pieddepage">
    <w:name w:val="footer"/>
    <w:basedOn w:val="Normal"/>
    <w:uiPriority w:val="2"/>
    <w:pPr>
      <w:spacing w:after="0"/>
      <w:ind w:right="-567"/>
      <w:jc w:val="left"/>
    </w:pPr>
    <w:rPr>
      <w:sz w:val="16"/>
    </w:rPr>
  </w:style>
  <w:style w:type="paragraph" w:customStyle="1" w:styleId="FooterLine">
    <w:name w:val="Footer Line"/>
    <w:basedOn w:val="Pieddepage"/>
    <w:next w:val="Pieddepage"/>
    <w:uiPriority w:val="2"/>
    <w:pPr>
      <w:tabs>
        <w:tab w:val="right" w:pos="8646"/>
      </w:tabs>
      <w:spacing w:before="120"/>
      <w:ind w:right="0"/>
    </w:pPr>
  </w:style>
  <w:style w:type="paragraph" w:styleId="Notedebasdepage">
    <w:name w:val="footnote text"/>
    <w:aliases w:val="Schriftart: 9 pt,Schriftart: 10 pt,Schriftart: 8 pt,WB-Fußnotentext,fn,footnote text,Footnotes,Footnote ak,FoodNote,ft,Footnote text,Footnote,Footnote Text Char1,Footnote Text Char Char,Footnote Text Char1 Char Cha,Fußnote"/>
    <w:basedOn w:val="Normal"/>
    <w:link w:val="NotedebasdepageC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epuces">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epuces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epuces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epuces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enumros">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enumros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enumros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enumros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Textedemacro">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lang w:val="en-IE"/>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Titre1"/>
    <w:uiPriority w:val="1"/>
    <w:qFormat/>
    <w:pPr>
      <w:keepNext w:val="0"/>
      <w:spacing w:before="0"/>
      <w:outlineLvl w:val="9"/>
    </w:pPr>
    <w:rPr>
      <w:b w:val="0"/>
      <w:smallCaps w:val="0"/>
    </w:rPr>
  </w:style>
  <w:style w:type="paragraph" w:customStyle="1" w:styleId="NumPar2">
    <w:name w:val="NumPar 2"/>
    <w:basedOn w:val="Titre2"/>
    <w:uiPriority w:val="1"/>
    <w:qFormat/>
    <w:pPr>
      <w:keepNext w:val="0"/>
      <w:outlineLvl w:val="9"/>
    </w:pPr>
    <w:rPr>
      <w:b w:val="0"/>
    </w:rPr>
  </w:style>
  <w:style w:type="paragraph" w:customStyle="1" w:styleId="NumPar3">
    <w:name w:val="NumPar 3"/>
    <w:basedOn w:val="Titre3"/>
    <w:uiPriority w:val="1"/>
    <w:qFormat/>
    <w:pPr>
      <w:keepNext w:val="0"/>
      <w:outlineLvl w:val="9"/>
    </w:pPr>
    <w:rPr>
      <w:i w:val="0"/>
    </w:rPr>
  </w:style>
  <w:style w:type="paragraph" w:customStyle="1" w:styleId="NumPar4">
    <w:name w:val="NumPar 4"/>
    <w:basedOn w:val="Titre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re">
    <w:name w:val="Title"/>
    <w:basedOn w:val="Normal"/>
    <w:next w:val="Normal"/>
    <w:uiPriority w:val="1"/>
    <w:qFormat/>
    <w:pPr>
      <w:spacing w:after="480"/>
      <w:jc w:val="center"/>
    </w:pPr>
    <w:rPr>
      <w:b/>
      <w:kern w:val="28"/>
      <w:sz w:val="48"/>
    </w:rPr>
  </w:style>
  <w:style w:type="paragraph" w:styleId="TM1">
    <w:name w:val="toc 1"/>
    <w:basedOn w:val="Normal"/>
    <w:next w:val="Normal"/>
    <w:semiHidden/>
    <w:pPr>
      <w:tabs>
        <w:tab w:val="right" w:leader="dot" w:pos="8640"/>
      </w:tabs>
      <w:spacing w:before="120" w:after="120"/>
      <w:ind w:left="482" w:right="720" w:hanging="482"/>
    </w:pPr>
  </w:style>
  <w:style w:type="paragraph" w:styleId="TM2">
    <w:name w:val="toc 2"/>
    <w:basedOn w:val="Normal"/>
    <w:next w:val="Normal"/>
    <w:semiHidden/>
    <w:pPr>
      <w:tabs>
        <w:tab w:val="right" w:leader="dot" w:pos="8640"/>
      </w:tabs>
      <w:spacing w:before="60" w:after="60"/>
      <w:ind w:left="1077" w:right="720" w:hanging="595"/>
    </w:pPr>
    <w:rPr>
      <w:noProof/>
    </w:rPr>
  </w:style>
  <w:style w:type="paragraph" w:styleId="TM3">
    <w:name w:val="toc 3"/>
    <w:basedOn w:val="Normal"/>
    <w:next w:val="Normal"/>
    <w:semiHidden/>
    <w:pPr>
      <w:tabs>
        <w:tab w:val="right" w:leader="dot" w:pos="8640"/>
      </w:tabs>
      <w:spacing w:before="60" w:after="60"/>
      <w:ind w:left="1916" w:right="720" w:hanging="839"/>
    </w:pPr>
  </w:style>
  <w:style w:type="paragraph" w:styleId="TM4">
    <w:name w:val="toc 4"/>
    <w:basedOn w:val="Normal"/>
    <w:next w:val="Normal"/>
    <w:semiHidden/>
    <w:pPr>
      <w:tabs>
        <w:tab w:val="right" w:leader="dot" w:pos="8640"/>
      </w:tabs>
      <w:spacing w:before="60" w:after="60"/>
      <w:ind w:left="2880" w:right="720" w:hanging="964"/>
    </w:pPr>
    <w:rPr>
      <w:noProof/>
    </w:rPr>
  </w:style>
  <w:style w:type="paragraph" w:styleId="TM5">
    <w:name w:val="toc 5"/>
    <w:basedOn w:val="Normal"/>
    <w:next w:val="Normal"/>
    <w:semiHidden/>
    <w:pPr>
      <w:tabs>
        <w:tab w:val="right" w:leader="dot" w:pos="8640"/>
      </w:tabs>
      <w:spacing w:before="240" w:after="120"/>
      <w:ind w:right="720"/>
    </w:pPr>
    <w:rPr>
      <w:caps/>
    </w:rPr>
  </w:style>
  <w:style w:type="paragraph" w:styleId="TM6">
    <w:name w:val="toc 6"/>
    <w:basedOn w:val="Normal"/>
    <w:next w:val="Normal"/>
    <w:semiHidden/>
    <w:pPr>
      <w:tabs>
        <w:tab w:val="right" w:leader="dot" w:pos="8640"/>
        <w:tab w:val="left" w:pos="2880"/>
      </w:tabs>
      <w:spacing w:before="120" w:after="120"/>
      <w:ind w:left="1916" w:right="720" w:hanging="1916"/>
    </w:pPr>
    <w:rPr>
      <w:caps/>
    </w:rPr>
  </w:style>
  <w:style w:type="paragraph" w:styleId="TM7">
    <w:name w:val="toc 7"/>
    <w:basedOn w:val="Normal"/>
    <w:next w:val="Normal"/>
    <w:semiHidden/>
    <w:pPr>
      <w:tabs>
        <w:tab w:val="left" w:pos="3685"/>
      </w:tabs>
      <w:spacing w:after="0"/>
      <w:ind w:left="2880" w:hanging="1349"/>
    </w:pPr>
  </w:style>
  <w:style w:type="paragraph" w:styleId="TM8">
    <w:name w:val="toc 8"/>
    <w:basedOn w:val="Normal"/>
    <w:next w:val="Normal"/>
    <w:semiHidden/>
    <w:pPr>
      <w:tabs>
        <w:tab w:val="right" w:leader="dot" w:pos="8640"/>
      </w:tabs>
    </w:pPr>
  </w:style>
  <w:style w:type="paragraph" w:styleId="TM9">
    <w:name w:val="toc 9"/>
    <w:basedOn w:val="Normal"/>
    <w:next w:val="Normal"/>
    <w:semiHidden/>
    <w:pPr>
      <w:tabs>
        <w:tab w:val="right" w:leader="dot" w:pos="8640"/>
      </w:tabs>
    </w:pPr>
  </w:style>
  <w:style w:type="paragraph" w:styleId="En-ttedetabledesmatires">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En-tte">
    <w:name w:val="header"/>
    <w:basedOn w:val="Normal"/>
    <w:link w:val="En-tteCar"/>
    <w:uiPriority w:val="2"/>
    <w:pPr>
      <w:tabs>
        <w:tab w:val="center" w:pos="4150"/>
        <w:tab w:val="right" w:pos="8306"/>
      </w:tabs>
      <w:spacing w:after="0"/>
    </w:pPr>
  </w:style>
  <w:style w:type="character" w:customStyle="1" w:styleId="En-tteCar">
    <w:name w:val="En-tête Car"/>
    <w:basedOn w:val="Policepardfaut"/>
    <w:link w:val="En-tte"/>
    <w:uiPriority w:val="2"/>
    <w:rPr>
      <w:sz w:val="24"/>
    </w:rPr>
  </w:style>
  <w:style w:type="table" w:customStyle="1" w:styleId="EurolookClassicBlue">
    <w:name w:val="Eurolook Classic Blu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au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au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au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au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au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au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au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au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au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au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Grilledutableau">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auNormal"/>
    <w:semiHidden/>
    <w:tblPr>
      <w:tblCellMar>
        <w:left w:w="0" w:type="dxa"/>
        <w:bottom w:w="340" w:type="dxa"/>
        <w:right w:w="0" w:type="dxa"/>
      </w:tblCellMar>
    </w:tblPr>
  </w:style>
  <w:style w:type="paragraph" w:styleId="Listepuces5">
    <w:name w:val="List Bullet 5"/>
    <w:basedOn w:val="Normal"/>
    <w:semiHidden/>
    <w:locked/>
    <w:pPr>
      <w:numPr>
        <w:numId w:val="23"/>
      </w:numPr>
      <w:contextualSpacing/>
    </w:pPr>
  </w:style>
  <w:style w:type="paragraph" w:styleId="Listenumros5">
    <w:name w:val="List Number 5"/>
    <w:basedOn w:val="Normal"/>
    <w:semiHidden/>
    <w:locked/>
    <w:pPr>
      <w:numPr>
        <w:numId w:val="24"/>
      </w:numPr>
      <w:contextualSpacing/>
    </w:pPr>
  </w:style>
  <w:style w:type="paragraph" w:styleId="Paragraphedeliste">
    <w:name w:val="List Paragraph"/>
    <w:basedOn w:val="Normal"/>
    <w:uiPriority w:val="34"/>
    <w:qFormat/>
    <w:locked/>
    <w:pPr>
      <w:ind w:left="720"/>
      <w:contextualSpacing/>
    </w:pPr>
  </w:style>
  <w:style w:type="character" w:styleId="Lienhypertexte">
    <w:name w:val="Hyperlink"/>
    <w:basedOn w:val="Policepardfaut"/>
    <w:uiPriority w:val="99"/>
    <w:locked/>
    <w:rPr>
      <w:color w:val="0563C1" w:themeColor="hyperlink"/>
      <w:u w:val="single"/>
    </w:rPr>
  </w:style>
  <w:style w:type="character" w:styleId="Mentionnonrsolue">
    <w:name w:val="Unresolved Mention"/>
    <w:basedOn w:val="Policepardfaut"/>
    <w:semiHidden/>
    <w:locked/>
    <w:rPr>
      <w:color w:val="605E5C"/>
      <w:shd w:val="clear" w:color="auto" w:fill="E1DFDD"/>
    </w:rPr>
  </w:style>
  <w:style w:type="paragraph" w:styleId="Rvision">
    <w:name w:val="Revision"/>
    <w:hidden/>
    <w:semiHidden/>
    <w:locked/>
  </w:style>
  <w:style w:type="character" w:styleId="Marquedecommentaire">
    <w:name w:val="annotation reference"/>
    <w:basedOn w:val="Policepardfaut"/>
    <w:locked/>
    <w:rPr>
      <w:sz w:val="16"/>
      <w:szCs w:val="16"/>
    </w:rPr>
  </w:style>
  <w:style w:type="paragraph" w:styleId="Commentaire">
    <w:name w:val="annotation text"/>
    <w:basedOn w:val="Normal"/>
    <w:link w:val="CommentaireCar"/>
    <w:uiPriority w:val="99"/>
    <w:locked/>
    <w:rPr>
      <w:sz w:val="20"/>
    </w:rPr>
  </w:style>
  <w:style w:type="character" w:customStyle="1" w:styleId="CommentaireCar">
    <w:name w:val="Commentaire Car"/>
    <w:basedOn w:val="Policepardfaut"/>
    <w:link w:val="Commentaire"/>
    <w:uiPriority w:val="99"/>
    <w:semiHidden/>
    <w:rPr>
      <w:sz w:val="20"/>
    </w:rPr>
  </w:style>
  <w:style w:type="paragraph" w:styleId="Objetducommentaire">
    <w:name w:val="annotation subject"/>
    <w:basedOn w:val="Commentaire"/>
    <w:next w:val="Commentaire"/>
    <w:link w:val="ObjetducommentaireCar"/>
    <w:semiHidden/>
    <w:locked/>
    <w:rPr>
      <w:b/>
      <w:bCs/>
    </w:rPr>
  </w:style>
  <w:style w:type="character" w:customStyle="1" w:styleId="ObjetducommentaireCar">
    <w:name w:val="Objet du commentaire Car"/>
    <w:basedOn w:val="CommentaireCar"/>
    <w:link w:val="Objetducommentaire"/>
    <w:semiHidden/>
    <w:rPr>
      <w:b/>
      <w:bCs/>
      <w:sz w:val="20"/>
    </w:rPr>
  </w:style>
  <w:style w:type="character" w:styleId="Appelnotedebasdep">
    <w:name w:val="footnote reference"/>
    <w:aliases w:val="Footnote symbol,Times 10 Point,Exposant 3 Point, Exposant 3 Point,Appel note de bas de p,Footnote Reference Superscript,PBO Footnote Reference,FR + (Complex) Arial,(Latin) 9 pt,(Complex) 10 pt + (Compl...,Voetnootverwijzing"/>
    <w:basedOn w:val="Policepardfaut"/>
    <w:link w:val="Footnotenumber"/>
    <w:uiPriority w:val="99"/>
    <w:qFormat/>
    <w:locked/>
    <w:rPr>
      <w:vertAlign w:val="superscript"/>
    </w:rPr>
  </w:style>
  <w:style w:type="paragraph" w:styleId="NormalWeb">
    <w:name w:val="Normal (Web)"/>
    <w:basedOn w:val="Normal"/>
    <w:uiPriority w:val="99"/>
    <w:semiHidden/>
    <w:unhideWhenUsed/>
    <w:locked/>
    <w:pPr>
      <w:spacing w:before="100" w:beforeAutospacing="1" w:after="100" w:afterAutospacing="1"/>
      <w:jc w:val="left"/>
    </w:pPr>
    <w:rPr>
      <w:szCs w:val="24"/>
      <w:lang w:val="fr-FR" w:eastAsia="fr-FR"/>
    </w:rPr>
  </w:style>
  <w:style w:type="character" w:styleId="Lienhypertextesuivivisit">
    <w:name w:val="FollowedHyperlink"/>
    <w:basedOn w:val="Policepardfaut"/>
    <w:semiHidden/>
    <w:locked/>
    <w:rPr>
      <w:color w:val="954F72" w:themeColor="followedHyperlink"/>
      <w:u w:val="single"/>
    </w:rPr>
  </w:style>
  <w:style w:type="character" w:customStyle="1" w:styleId="NotedebasdepageCar">
    <w:name w:val="Note de bas de page Car"/>
    <w:aliases w:val="Schriftart: 9 pt Car,Schriftart: 10 pt Car,Schriftart: 8 pt Car,WB-Fußnotentext Car,fn Car,footnote text Car,Footnotes Car,Footnote ak Car,FoodNote Car,ft Car,Footnote text Car,Footnote Car,Footnote Text Char1 Car,Fußnote Car"/>
    <w:basedOn w:val="Policepardfaut"/>
    <w:link w:val="Notedebasdepage"/>
    <w:uiPriority w:val="99"/>
    <w:qFormat/>
    <w:rPr>
      <w:sz w:val="20"/>
    </w:rPr>
  </w:style>
  <w:style w:type="paragraph" w:customStyle="1" w:styleId="Footnotenumber">
    <w:name w:val="Footnote number"/>
    <w:aliases w:val="fr"/>
    <w:basedOn w:val="Normal"/>
    <w:link w:val="Appelnotedebasdep"/>
    <w:uiPriority w:val="99"/>
    <w:pPr>
      <w:spacing w:after="160" w:line="240" w:lineRule="exact"/>
      <w:jc w:val="left"/>
    </w:pPr>
    <w:rPr>
      <w:vertAlign w:val="superscript"/>
    </w:rPr>
  </w:style>
  <w:style w:type="character" w:styleId="lev">
    <w:name w:val="Strong"/>
    <w:basedOn w:val="Policepardfaut"/>
    <w:uiPriority w:val="22"/>
    <w:qFormat/>
    <w:locked/>
    <w:rPr>
      <w:b/>
      <w:bCs/>
    </w:rPr>
  </w:style>
  <w:style w:type="character" w:customStyle="1" w:styleId="Titre2Car">
    <w:name w:val="Titre 2 Car"/>
    <w:basedOn w:val="Policepardfaut"/>
    <w:link w:val="Titre2"/>
    <w:uiPriority w:val="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52839">
      <w:bodyDiv w:val="1"/>
      <w:marLeft w:val="0"/>
      <w:marRight w:val="0"/>
      <w:marTop w:val="0"/>
      <w:marBottom w:val="0"/>
      <w:divBdr>
        <w:top w:val="none" w:sz="0" w:space="0" w:color="auto"/>
        <w:left w:val="none" w:sz="0" w:space="0" w:color="auto"/>
        <w:bottom w:val="none" w:sz="0" w:space="0" w:color="auto"/>
        <w:right w:val="none" w:sz="0" w:space="0" w:color="auto"/>
      </w:divBdr>
    </w:div>
    <w:div w:id="169875268">
      <w:bodyDiv w:val="1"/>
      <w:marLeft w:val="0"/>
      <w:marRight w:val="0"/>
      <w:marTop w:val="0"/>
      <w:marBottom w:val="0"/>
      <w:divBdr>
        <w:top w:val="none" w:sz="0" w:space="0" w:color="auto"/>
        <w:left w:val="none" w:sz="0" w:space="0" w:color="auto"/>
        <w:bottom w:val="none" w:sz="0" w:space="0" w:color="auto"/>
        <w:right w:val="none" w:sz="0" w:space="0" w:color="auto"/>
      </w:divBdr>
    </w:div>
    <w:div w:id="189730343">
      <w:bodyDiv w:val="1"/>
      <w:marLeft w:val="0"/>
      <w:marRight w:val="0"/>
      <w:marTop w:val="0"/>
      <w:marBottom w:val="0"/>
      <w:divBdr>
        <w:top w:val="none" w:sz="0" w:space="0" w:color="auto"/>
        <w:left w:val="none" w:sz="0" w:space="0" w:color="auto"/>
        <w:bottom w:val="none" w:sz="0" w:space="0" w:color="auto"/>
        <w:right w:val="none" w:sz="0" w:space="0" w:color="auto"/>
      </w:divBdr>
    </w:div>
    <w:div w:id="239559555">
      <w:bodyDiv w:val="1"/>
      <w:marLeft w:val="0"/>
      <w:marRight w:val="0"/>
      <w:marTop w:val="0"/>
      <w:marBottom w:val="0"/>
      <w:divBdr>
        <w:top w:val="none" w:sz="0" w:space="0" w:color="auto"/>
        <w:left w:val="none" w:sz="0" w:space="0" w:color="auto"/>
        <w:bottom w:val="none" w:sz="0" w:space="0" w:color="auto"/>
        <w:right w:val="none" w:sz="0" w:space="0" w:color="auto"/>
      </w:divBdr>
    </w:div>
    <w:div w:id="415252987">
      <w:bodyDiv w:val="1"/>
      <w:marLeft w:val="0"/>
      <w:marRight w:val="0"/>
      <w:marTop w:val="0"/>
      <w:marBottom w:val="0"/>
      <w:divBdr>
        <w:top w:val="none" w:sz="0" w:space="0" w:color="auto"/>
        <w:left w:val="none" w:sz="0" w:space="0" w:color="auto"/>
        <w:bottom w:val="none" w:sz="0" w:space="0" w:color="auto"/>
        <w:right w:val="none" w:sz="0" w:space="0" w:color="auto"/>
      </w:divBdr>
    </w:div>
    <w:div w:id="523178708">
      <w:bodyDiv w:val="1"/>
      <w:marLeft w:val="0"/>
      <w:marRight w:val="0"/>
      <w:marTop w:val="0"/>
      <w:marBottom w:val="0"/>
      <w:divBdr>
        <w:top w:val="none" w:sz="0" w:space="0" w:color="auto"/>
        <w:left w:val="none" w:sz="0" w:space="0" w:color="auto"/>
        <w:bottom w:val="none" w:sz="0" w:space="0" w:color="auto"/>
        <w:right w:val="none" w:sz="0" w:space="0" w:color="auto"/>
      </w:divBdr>
    </w:div>
    <w:div w:id="666596923">
      <w:bodyDiv w:val="1"/>
      <w:marLeft w:val="0"/>
      <w:marRight w:val="0"/>
      <w:marTop w:val="0"/>
      <w:marBottom w:val="0"/>
      <w:divBdr>
        <w:top w:val="none" w:sz="0" w:space="0" w:color="auto"/>
        <w:left w:val="none" w:sz="0" w:space="0" w:color="auto"/>
        <w:bottom w:val="none" w:sz="0" w:space="0" w:color="auto"/>
        <w:right w:val="none" w:sz="0" w:space="0" w:color="auto"/>
      </w:divBdr>
    </w:div>
    <w:div w:id="912860097">
      <w:bodyDiv w:val="1"/>
      <w:marLeft w:val="0"/>
      <w:marRight w:val="0"/>
      <w:marTop w:val="0"/>
      <w:marBottom w:val="0"/>
      <w:divBdr>
        <w:top w:val="none" w:sz="0" w:space="0" w:color="auto"/>
        <w:left w:val="none" w:sz="0" w:space="0" w:color="auto"/>
        <w:bottom w:val="none" w:sz="0" w:space="0" w:color="auto"/>
        <w:right w:val="none" w:sz="0" w:space="0" w:color="auto"/>
      </w:divBdr>
    </w:div>
    <w:div w:id="1041050875">
      <w:bodyDiv w:val="1"/>
      <w:marLeft w:val="0"/>
      <w:marRight w:val="0"/>
      <w:marTop w:val="0"/>
      <w:marBottom w:val="0"/>
      <w:divBdr>
        <w:top w:val="none" w:sz="0" w:space="0" w:color="auto"/>
        <w:left w:val="none" w:sz="0" w:space="0" w:color="auto"/>
        <w:bottom w:val="none" w:sz="0" w:space="0" w:color="auto"/>
        <w:right w:val="none" w:sz="0" w:space="0" w:color="auto"/>
      </w:divBdr>
    </w:div>
    <w:div w:id="1158417849">
      <w:bodyDiv w:val="1"/>
      <w:marLeft w:val="0"/>
      <w:marRight w:val="0"/>
      <w:marTop w:val="0"/>
      <w:marBottom w:val="0"/>
      <w:divBdr>
        <w:top w:val="none" w:sz="0" w:space="0" w:color="auto"/>
        <w:left w:val="none" w:sz="0" w:space="0" w:color="auto"/>
        <w:bottom w:val="none" w:sz="0" w:space="0" w:color="auto"/>
        <w:right w:val="none" w:sz="0" w:space="0" w:color="auto"/>
      </w:divBdr>
    </w:div>
    <w:div w:id="1426681772">
      <w:bodyDiv w:val="1"/>
      <w:marLeft w:val="0"/>
      <w:marRight w:val="0"/>
      <w:marTop w:val="0"/>
      <w:marBottom w:val="0"/>
      <w:divBdr>
        <w:top w:val="none" w:sz="0" w:space="0" w:color="auto"/>
        <w:left w:val="none" w:sz="0" w:space="0" w:color="auto"/>
        <w:bottom w:val="none" w:sz="0" w:space="0" w:color="auto"/>
        <w:right w:val="none" w:sz="0" w:space="0" w:color="auto"/>
      </w:divBdr>
    </w:div>
    <w:div w:id="1540555396">
      <w:bodyDiv w:val="1"/>
      <w:marLeft w:val="0"/>
      <w:marRight w:val="0"/>
      <w:marTop w:val="0"/>
      <w:marBottom w:val="0"/>
      <w:divBdr>
        <w:top w:val="none" w:sz="0" w:space="0" w:color="auto"/>
        <w:left w:val="none" w:sz="0" w:space="0" w:color="auto"/>
        <w:bottom w:val="none" w:sz="0" w:space="0" w:color="auto"/>
        <w:right w:val="none" w:sz="0" w:space="0" w:color="auto"/>
      </w:divBdr>
    </w:div>
    <w:div w:id="1801410350">
      <w:bodyDiv w:val="1"/>
      <w:marLeft w:val="0"/>
      <w:marRight w:val="0"/>
      <w:marTop w:val="0"/>
      <w:marBottom w:val="0"/>
      <w:divBdr>
        <w:top w:val="none" w:sz="0" w:space="0" w:color="auto"/>
        <w:left w:val="none" w:sz="0" w:space="0" w:color="auto"/>
        <w:bottom w:val="none" w:sz="0" w:space="0" w:color="auto"/>
        <w:right w:val="none" w:sz="0" w:space="0" w:color="auto"/>
      </w:divBdr>
    </w:div>
    <w:div w:id="1807771648">
      <w:bodyDiv w:val="1"/>
      <w:marLeft w:val="0"/>
      <w:marRight w:val="0"/>
      <w:marTop w:val="0"/>
      <w:marBottom w:val="0"/>
      <w:divBdr>
        <w:top w:val="none" w:sz="0" w:space="0" w:color="auto"/>
        <w:left w:val="none" w:sz="0" w:space="0" w:color="auto"/>
        <w:bottom w:val="none" w:sz="0" w:space="0" w:color="auto"/>
        <w:right w:val="none" w:sz="0" w:space="0" w:color="auto"/>
      </w:divBdr>
    </w:div>
    <w:div w:id="1983925413">
      <w:bodyDiv w:val="1"/>
      <w:marLeft w:val="0"/>
      <w:marRight w:val="0"/>
      <w:marTop w:val="0"/>
      <w:marBottom w:val="0"/>
      <w:divBdr>
        <w:top w:val="none" w:sz="0" w:space="0" w:color="auto"/>
        <w:left w:val="none" w:sz="0" w:space="0" w:color="auto"/>
        <w:bottom w:val="none" w:sz="0" w:space="0" w:color="auto"/>
        <w:right w:val="none" w:sz="0" w:space="0" w:color="auto"/>
      </w:divBdr>
    </w:div>
    <w:div w:id="2123840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eur-lex.europa.eu/legal-content/EN/TXT/PDF/?uri=CELEX:52021XC1230(02)" TargetMode="External"/><Relationship Id="rId10" Type="http://schemas.openxmlformats.org/officeDocument/2006/relationships/styles" Target="styl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2XC0218(03)" TargetMode="External"/><Relationship Id="rId3" Type="http://schemas.openxmlformats.org/officeDocument/2006/relationships/hyperlink" Target="https://www.consilium.europa.eu/en/infographics/how-is-eu-electricity-produced-and-sold/" TargetMode="External"/><Relationship Id="rId7" Type="http://schemas.openxmlformats.org/officeDocument/2006/relationships/hyperlink" Target="https://eur-lex.europa.eu/legal-content/EN/TXT/?uri=celex%3A52022XC1028%2803%29" TargetMode="External"/><Relationship Id="rId2" Type="http://schemas.openxmlformats.org/officeDocument/2006/relationships/hyperlink" Target="https://competition-policy.ec.europa.eu/document/download/9ff281e5-4ac9-4bad-b5fe-1665f0e8a753_en?filename=JEF-IPCEI_Recommendation%20on%20the%20roles%20of%20associated%20and%20indirect%20partners%20in%20an%20IPCEI%20ecosystem.pdf" TargetMode="External"/><Relationship Id="rId1" Type="http://schemas.openxmlformats.org/officeDocument/2006/relationships/hyperlink" Target="https://world-nuclear.org/information-library/country-profiles/others/european-union" TargetMode="External"/><Relationship Id="rId6" Type="http://schemas.openxmlformats.org/officeDocument/2006/relationships/hyperlink" Target="https://eur-lex.europa.eu/legal-content/EN/TXT/?uri=celex%3A32014R0651" TargetMode="External"/><Relationship Id="rId5" Type="http://schemas.openxmlformats.org/officeDocument/2006/relationships/hyperlink" Target="https://single-market-economy.ec.europa.eu/industry/industrial-alliances/european-industrial-alliance-small-modular-reactors_en" TargetMode="External"/><Relationship Id="rId4" Type="http://schemas.openxmlformats.org/officeDocument/2006/relationships/hyperlink" Target="https://www.nucleareurope.eu/press-release/investing-in-low-carbon-nuclear-generates-jobs-and-economic-growth-i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urolookProperties>
  <ProductCustomizationId>EC</ProductCustomizationId>
  <Created>
    <Version>10.0.45336.0</Version>
    <Date>2023-12-19T16:32:52</Date>
    <Language>EN</Language>
    <Note/>
  </Created>
  <Edited>
    <Version/>
    <Date/>
  </Edited>
  <DocumentModel>
    <Id>f8c36bec-0f9f-4d0e-ab25-ee5c0421ad8b</Id>
    <Name>Note for the file</Name>
  </DocumentModel>
  <CustomTemplate>
    <Id/>
    <Name/>
  </CustomTemplate>
  <DocumentDate>2023-12-19T16:32:52</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EU pre-assessment fiche for IPCEI candidates
</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Dokument" ma:contentTypeID="0x010100A94556B2B814524295F421242F1587F9" ma:contentTypeVersion="3" ma:contentTypeDescription="Umožňuje vytvoriť nový dokument." ma:contentTypeScope="" ma:versionID="5224d1fdfea33b8ded7d81c04ccbeb9f">
  <xsd:schema xmlns:xsd="http://www.w3.org/2001/XMLSchema" xmlns:xs="http://www.w3.org/2001/XMLSchema" xmlns:p="http://schemas.microsoft.com/office/2006/metadata/properties" xmlns:ns2="1217bdb6-52c4-41af-958e-15452066f23a" targetNamespace="http://schemas.microsoft.com/office/2006/metadata/properties" ma:root="true" ma:fieldsID="e81ca58095d59024646e7f5f5ca3839d" ns2:_="">
    <xsd:import namespace="1217bdb6-52c4-41af-958e-15452066f23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7bdb6-52c4-41af-958e-15452066f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B905873A2907D5448FA6355D60662B39" ma:contentTypeVersion="6" ma:contentTypeDescription="Create a new document." ma:contentTypeScope="" ma:versionID="b822554028f2bb106e7b228454e54f78">
  <xsd:schema xmlns:xsd="http://www.w3.org/2001/XMLSchema" xmlns:xs="http://www.w3.org/2001/XMLSchema" xmlns:p="http://schemas.microsoft.com/office/2006/metadata/properties" xmlns:ns2="d58fb9fb-2f9b-4dd3-b203-18a8ba2b2c6d" xmlns:ns3="1b214236-1dea-4c17-bf51-b8ccfa81a9ae" targetNamespace="http://schemas.microsoft.com/office/2006/metadata/properties" ma:root="true" ma:fieldsID="8f2ff0661c2c5ae07d8ee49ea3713c42" ns2:_="" ns3:_="">
    <xsd:import namespace="d58fb9fb-2f9b-4dd3-b203-18a8ba2b2c6d"/>
    <xsd:import namespace="1b214236-1dea-4c17-bf51-b8ccfa81a9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fb9fb-2f9b-4dd3-b203-18a8ba2b2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214236-1dea-4c17-bf51-b8ccfa81a9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Author Role="Creator" AuthorRoleName="Writer" AuthorRoleId="a4fbaff4-b07c-48b4-a21e-e7b9eedf3796">
  <Id>ad3e3ec3-55fc-4430-9fc8-6cff4a69cfda</Id>
  <Names>
    <Latin>
      <FirstName>Guillaume</FirstName>
      <LastName>ROTY</LastName>
    </Latin>
    <Greek>
      <FirstName/>
      <LastName/>
    </Greek>
    <Cyrillic>
      <FirstName/>
      <LastName/>
    </Cyrillic>
    <DocumentScript>
      <FirstName>Guillaume</FirstName>
      <LastName>ROTY</LastName>
      <FullName>Guillaume ROTY</FullName>
    </DocumentScript>
  </Names>
  <Initials>GR</Initials>
  <Gender>m</Gender>
  <Email/>
  <Service>GROW.C.3</Service>
  <Function ADCode="40" ShowInSignature="true" ShowInHeader="false" HeaderText="">Deputy Head of Unit</Function>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2>
  <OrgaEntity3>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65c2022c-75d5-434e-9270-446319d4d9ae</Id>
      <LogicalLevel>2</LogicalLevel>
      <Name>GROW.C</Name>
      <HeadLine1>Investment</HeadLine1>
      <HeadLine2/>
      <PrimaryAddressId>f03b5801-04c9-4931-aa17-c6d6c70bc579</PrimaryAddressId>
      <SecondaryAddressId/>
      <WebAddress/>
      <InheritedWebAddress>WebAddress</InheritedWebAddress>
      <ShowInHeader>true</ShowInHeader>
    </OrgaEntity>
    <OrgaEntity>
      <Id>a78730b9-8d2f-4bef-a72a-80def8090f22</Id>
      <LogicalLevel>3</LogicalLevel>
      <Name>GROW.C.3</Name>
      <HeadLine1>C.3 – Investment Conditions and Public Services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+32 229-82260</Phone>
    <Office>N105 02/067</Office>
  </MainWorkplace>
  <Workplaces>
    <Workplace IsMain="true">
      <AddressId>f03b5801-04c9-4931-aa17-c6d6c70bc579</AddressId>
      <Fax/>
      <Phone>+32 229-82260</Phone>
      <Office>N105 02/067</Office>
    </Workplace>
  </Workplaces>
</Author>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36D1E590-7C5E-4865-89C9-00C342B48412}">
  <ds:schemaRefs>
    <ds:schemaRef ds:uri="http://schemas.openxmlformats.org/officeDocument/2006/bibliography"/>
  </ds:schemaRefs>
</ds:datastoreItem>
</file>

<file path=customXml/itemProps3.xml><?xml version="1.0" encoding="utf-8"?>
<ds:datastoreItem xmlns:ds="http://schemas.openxmlformats.org/officeDocument/2006/customXml" ds:itemID="{1E58BFB2-364F-4235-A52F-FA9B4F7C17BD}">
  <ds:schemaRefs>
    <ds:schemaRef ds:uri="http://schemas.microsoft.com/office/2006/metadata/properties"/>
    <ds:schemaRef ds:uri="http://schemas.microsoft.com/office/infopath/2007/PartnerControls"/>
    <ds:schemaRef ds:uri="27ccb20c-2e33-4772-b5b4-c24940ec2d41"/>
    <ds:schemaRef ds:uri="0c057960-05f9-480b-aee6-c928ed92817d"/>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48D84DA3-7250-496B-8BE4-B1EC4B0C724D}"/>
</file>

<file path=customXml/itemProps6.xml><?xml version="1.0" encoding="utf-8"?>
<ds:datastoreItem xmlns:ds="http://schemas.openxmlformats.org/officeDocument/2006/customXml" ds:itemID="{7890BEDC-7BA3-4186-A22B-E208FB270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fb9fb-2f9b-4dd3-b203-18a8ba2b2c6d"/>
    <ds:schemaRef ds:uri="1b214236-1dea-4c17-bf51-b8ccfa81a9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B7A883-2581-48E9-8DB3-DAB50D21D524}">
  <ds:schemaRefs>
    <ds:schemaRef ds:uri="http://schemas.microsoft.com/sharepoint/v3/contenttype/forms"/>
  </ds:schemaRefs>
</ds:datastoreItem>
</file>

<file path=customXml/itemProps8.xml><?xml version="1.0" encoding="utf-8"?>
<ds:datastoreItem xmlns:ds="http://schemas.openxmlformats.org/officeDocument/2006/customXml" ds:itemID="{83EC7CF0-EFC4-4B33-8950-26071AC6E01B}">
  <ds:schemaRefs/>
</ds:datastoreItem>
</file>

<file path=docMetadata/LabelInfo.xml><?xml version="1.0" encoding="utf-8"?>
<clbl:labelList xmlns:clbl="http://schemas.microsoft.com/office/2020/mipLabelMetadata">
  <clbl:label id="{ee255aed-7de2-497a-9b96-4de850d7aec7}" enabled="1" method="Privileged" siteId="{8c4b47b5-ea35-4370-817f-95066d4f8467}" removed="0"/>
</clbl:labelList>
</file>

<file path=docProps/app.xml><?xml version="1.0" encoding="utf-8"?>
<Properties xmlns="http://schemas.openxmlformats.org/officeDocument/2006/extended-properties" xmlns:vt="http://schemas.openxmlformats.org/officeDocument/2006/docPropsVTypes">
  <Template>Eurolook.dotm</Template>
  <TotalTime>4</TotalTime>
  <Pages>14</Pages>
  <Words>5697</Words>
  <Characters>31336</Characters>
  <Application>Microsoft Office Word</Application>
  <DocSecurity>0</DocSecurity>
  <PresentationFormat>Microsoft Word 14.0</PresentationFormat>
  <Lines>261</Lines>
  <Paragraphs>73</Paragraphs>
  <ScaleCrop>true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36960</CharactersWithSpaces>
  <SharedDoc>false</SharedDoc>
  <HLinks>
    <vt:vector size="90" baseType="variant">
      <vt:variant>
        <vt:i4>1179740</vt:i4>
      </vt:variant>
      <vt:variant>
        <vt:i4>0</vt:i4>
      </vt:variant>
      <vt:variant>
        <vt:i4>0</vt:i4>
      </vt:variant>
      <vt:variant>
        <vt:i4>5</vt:i4>
      </vt:variant>
      <vt:variant>
        <vt:lpwstr>https://eur-lex.europa.eu/legal-content/EN/TXT/PDF/?uri=CELEX:52021XC1230(02)</vt:lpwstr>
      </vt:variant>
      <vt:variant>
        <vt:lpwstr/>
      </vt:variant>
      <vt:variant>
        <vt:i4>7405667</vt:i4>
      </vt:variant>
      <vt:variant>
        <vt:i4>39</vt:i4>
      </vt:variant>
      <vt:variant>
        <vt:i4>0</vt:i4>
      </vt:variant>
      <vt:variant>
        <vt:i4>5</vt:i4>
      </vt:variant>
      <vt:variant>
        <vt:lpwstr>https://eur-lex.europa.eu/eli/dir/2023/2413/oj/eng</vt:lpwstr>
      </vt:variant>
      <vt:variant>
        <vt:lpwstr/>
      </vt:variant>
      <vt:variant>
        <vt:i4>589892</vt:i4>
      </vt:variant>
      <vt:variant>
        <vt:i4>36</vt:i4>
      </vt:variant>
      <vt:variant>
        <vt:i4>0</vt:i4>
      </vt:variant>
      <vt:variant>
        <vt:i4>5</vt:i4>
      </vt:variant>
      <vt:variant>
        <vt:lpwstr>https://ec.europa.eu/commission/presscorner/detail/en/qanda_22_566</vt:lpwstr>
      </vt:variant>
      <vt:variant>
        <vt:lpwstr/>
      </vt:variant>
      <vt:variant>
        <vt:i4>1048663</vt:i4>
      </vt:variant>
      <vt:variant>
        <vt:i4>33</vt:i4>
      </vt:variant>
      <vt:variant>
        <vt:i4>0</vt:i4>
      </vt:variant>
      <vt:variant>
        <vt:i4>5</vt:i4>
      </vt:variant>
      <vt:variant>
        <vt:lpwstr>https://eur-lex.europa.eu/legal-content/EN/TXT/PDF/?uri=CELEX:52022XC0218(03)</vt:lpwstr>
      </vt:variant>
      <vt:variant>
        <vt:lpwstr/>
      </vt:variant>
      <vt:variant>
        <vt:i4>8192058</vt:i4>
      </vt:variant>
      <vt:variant>
        <vt:i4>30</vt:i4>
      </vt:variant>
      <vt:variant>
        <vt:i4>0</vt:i4>
      </vt:variant>
      <vt:variant>
        <vt:i4>5</vt:i4>
      </vt:variant>
      <vt:variant>
        <vt:lpwstr>https://eur-lex.europa.eu/legal-content/EN/TXT/?uri=celex%3A52022XC1028%2803%29</vt:lpwstr>
      </vt:variant>
      <vt:variant>
        <vt:lpwstr/>
      </vt:variant>
      <vt:variant>
        <vt:i4>7078003</vt:i4>
      </vt:variant>
      <vt:variant>
        <vt:i4>27</vt:i4>
      </vt:variant>
      <vt:variant>
        <vt:i4>0</vt:i4>
      </vt:variant>
      <vt:variant>
        <vt:i4>5</vt:i4>
      </vt:variant>
      <vt:variant>
        <vt:lpwstr>https://eur-lex.europa.eu/legal-content/EN/TXT/?uri=celex%3A32014R0651</vt:lpwstr>
      </vt:variant>
      <vt:variant>
        <vt:lpwstr/>
      </vt:variant>
      <vt:variant>
        <vt:i4>3014678</vt:i4>
      </vt:variant>
      <vt:variant>
        <vt:i4>24</vt:i4>
      </vt:variant>
      <vt:variant>
        <vt:i4>0</vt:i4>
      </vt:variant>
      <vt:variant>
        <vt:i4>5</vt:i4>
      </vt:variant>
      <vt:variant>
        <vt:lpwstr>https://energy.ec.europa.eu/topics/infrastructure/trans-european-networks-energy_en</vt:lpwstr>
      </vt:variant>
      <vt:variant>
        <vt:lpwstr/>
      </vt:variant>
      <vt:variant>
        <vt:i4>7864417</vt:i4>
      </vt:variant>
      <vt:variant>
        <vt:i4>21</vt:i4>
      </vt:variant>
      <vt:variant>
        <vt:i4>0</vt:i4>
      </vt:variant>
      <vt:variant>
        <vt:i4>5</vt:i4>
      </vt:variant>
      <vt:variant>
        <vt:lpwstr>https://eur-lex.europa.eu/eli/reg/2021/1056/oj/eng</vt:lpwstr>
      </vt:variant>
      <vt:variant>
        <vt:lpwstr/>
      </vt:variant>
      <vt:variant>
        <vt:i4>7995438</vt:i4>
      </vt:variant>
      <vt:variant>
        <vt:i4>18</vt:i4>
      </vt:variant>
      <vt:variant>
        <vt:i4>0</vt:i4>
      </vt:variant>
      <vt:variant>
        <vt:i4>5</vt:i4>
      </vt:variant>
      <vt:variant>
        <vt:lpwstr>https://eur-lex.europa.eu/eli/reg/2021/1058/oj</vt:lpwstr>
      </vt:variant>
      <vt:variant>
        <vt:lpwstr/>
      </vt:variant>
      <vt:variant>
        <vt:i4>5374036</vt:i4>
      </vt:variant>
      <vt:variant>
        <vt:i4>15</vt:i4>
      </vt:variant>
      <vt:variant>
        <vt:i4>0</vt:i4>
      </vt:variant>
      <vt:variant>
        <vt:i4>5</vt:i4>
      </vt:variant>
      <vt:variant>
        <vt:lpwstr>https://eur-lex.europa.eu/eli/reg/2021/523/oj</vt:lpwstr>
      </vt:variant>
      <vt:variant>
        <vt:lpwstr/>
      </vt:variant>
      <vt:variant>
        <vt:i4>7274511</vt:i4>
      </vt:variant>
      <vt:variant>
        <vt:i4>12</vt:i4>
      </vt:variant>
      <vt:variant>
        <vt:i4>0</vt:i4>
      </vt:variant>
      <vt:variant>
        <vt:i4>5</vt:i4>
      </vt:variant>
      <vt:variant>
        <vt:lpwstr>https://single-market-economy.ec.europa.eu/industry/industrial-alliances/european-industrial-alliance-small-modular-reactors_en</vt:lpwstr>
      </vt:variant>
      <vt:variant>
        <vt:lpwstr/>
      </vt:variant>
      <vt:variant>
        <vt:i4>786445</vt:i4>
      </vt:variant>
      <vt:variant>
        <vt:i4>9</vt:i4>
      </vt:variant>
      <vt:variant>
        <vt:i4>0</vt:i4>
      </vt:variant>
      <vt:variant>
        <vt:i4>5</vt:i4>
      </vt:variant>
      <vt:variant>
        <vt:lpwstr>https://www.nucleareurope.eu/press-release/investing-in-low-carbon-nuclear-generates-jobs-and-economic-growth-in-europe/</vt:lpwstr>
      </vt:variant>
      <vt:variant>
        <vt:lpwstr>:~:text=Brussels%2C%2025%20April%202019%3A%20The,study%20by%20Deloitte%20released%20today.&amp;text=triggers%20%E2%82%AC9.3%20billion%20in,nuclear%20and%20connected%20economic%20sectors</vt:lpwstr>
      </vt:variant>
      <vt:variant>
        <vt:i4>720902</vt:i4>
      </vt:variant>
      <vt:variant>
        <vt:i4>6</vt:i4>
      </vt:variant>
      <vt:variant>
        <vt:i4>0</vt:i4>
      </vt:variant>
      <vt:variant>
        <vt:i4>5</vt:i4>
      </vt:variant>
      <vt:variant>
        <vt:lpwstr>https://www.consilium.europa.eu/en/infographics/how-is-eu-electricity-produced-and-sold/</vt:lpwstr>
      </vt:variant>
      <vt:variant>
        <vt:lpwstr/>
      </vt:variant>
      <vt:variant>
        <vt:i4>3670051</vt:i4>
      </vt:variant>
      <vt:variant>
        <vt:i4>3</vt:i4>
      </vt:variant>
      <vt:variant>
        <vt:i4>0</vt:i4>
      </vt:variant>
      <vt:variant>
        <vt:i4>5</vt:i4>
      </vt:variant>
      <vt:variant>
        <vt:lpwstr>https://competition-policy.ec.europa.eu/document/download/9ff281e5-4ac9-4bad-b5fe-1665f0e8a753_en?filename=JEF-IPCEI_Recommendation%20on%20the%20roles%20of%20associated%20and%20indirect%20partners%20in%20an%20IPCEI%20ecosystem.pdf</vt:lpwstr>
      </vt:variant>
      <vt:variant>
        <vt:lpwstr/>
      </vt:variant>
      <vt:variant>
        <vt:i4>4456529</vt:i4>
      </vt:variant>
      <vt:variant>
        <vt:i4>0</vt:i4>
      </vt:variant>
      <vt:variant>
        <vt:i4>0</vt:i4>
      </vt:variant>
      <vt:variant>
        <vt:i4>5</vt:i4>
      </vt:variant>
      <vt:variant>
        <vt:lpwstr>https://world-nuclear.org/information-library/country-profiles/others/european-union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Talagrand</dc:creator>
  <cp:keywords/>
  <dc:description/>
  <cp:lastModifiedBy>DENIS Maximilien</cp:lastModifiedBy>
  <cp:revision>4</cp:revision>
  <dcterms:created xsi:type="dcterms:W3CDTF">2025-03-31T08:25:00Z</dcterms:created>
  <dcterms:modified xsi:type="dcterms:W3CDTF">2025-03-31T08:42:00Z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2023-12-19T16:10:54Z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206ed358-463d-47ec-a522-c9e00a9f9ace</vt:lpwstr>
  </property>
  <property fmtid="{D5CDD505-2E9C-101B-9397-08002B2CF9AE}" pid="8" name="MSIP_Label_6bd9ddd1-4d20-43f6-abfa-fc3c07406f94_ContentBits">
    <vt:lpwstr>0</vt:lpwstr>
  </property>
  <property fmtid="{D5CDD505-2E9C-101B-9397-08002B2CF9AE}" pid="9" name="ContentTypeId">
    <vt:lpwstr>0x010100A94556B2B814524295F421242F1587F9</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ClassificationContentMarkingFooterShapeIds">
    <vt:lpwstr>6e7ee0ba,50464594,6827db54</vt:lpwstr>
  </property>
  <property fmtid="{D5CDD505-2E9C-101B-9397-08002B2CF9AE}" pid="18" name="ClassificationContentMarkingFooterFontProps">
    <vt:lpwstr>#737373,9,Calibri</vt:lpwstr>
  </property>
  <property fmtid="{D5CDD505-2E9C-101B-9397-08002B2CF9AE}" pid="19" name="ClassificationContentMarkingFooterText">
    <vt:lpwstr>Interno – Internal</vt:lpwstr>
  </property>
  <property fmtid="{D5CDD505-2E9C-101B-9397-08002B2CF9AE}" pid="20" name="MSIP_Label_94f5f15f-11ca-4705-a655-5e46846a1c6b_Enabled">
    <vt:lpwstr>true</vt:lpwstr>
  </property>
  <property fmtid="{D5CDD505-2E9C-101B-9397-08002B2CF9AE}" pid="21" name="MSIP_Label_94f5f15f-11ca-4705-a655-5e46846a1c6b_SetDate">
    <vt:lpwstr>2025-02-25T10:25:30Z</vt:lpwstr>
  </property>
  <property fmtid="{D5CDD505-2E9C-101B-9397-08002B2CF9AE}" pid="22" name="MSIP_Label_94f5f15f-11ca-4705-a655-5e46846a1c6b_Method">
    <vt:lpwstr>Standard</vt:lpwstr>
  </property>
  <property fmtid="{D5CDD505-2E9C-101B-9397-08002B2CF9AE}" pid="23" name="MSIP_Label_94f5f15f-11ca-4705-a655-5e46846a1c6b_Name">
    <vt:lpwstr>Pubblico</vt:lpwstr>
  </property>
  <property fmtid="{D5CDD505-2E9C-101B-9397-08002B2CF9AE}" pid="24" name="MSIP_Label_94f5f15f-11ca-4705-a655-5e46846a1c6b_SiteId">
    <vt:lpwstr>49ea7387-144b-4c06-b54d-6a66b2b79d71</vt:lpwstr>
  </property>
  <property fmtid="{D5CDD505-2E9C-101B-9397-08002B2CF9AE}" pid="25" name="MSIP_Label_94f5f15f-11ca-4705-a655-5e46846a1c6b_ActionId">
    <vt:lpwstr>0dd8675a-a06c-4835-82ef-3b7dcb03c468</vt:lpwstr>
  </property>
  <property fmtid="{D5CDD505-2E9C-101B-9397-08002B2CF9AE}" pid="26" name="MSIP_Label_94f5f15f-11ca-4705-a655-5e46846a1c6b_ContentBits">
    <vt:lpwstr>0</vt:lpwstr>
  </property>
  <property fmtid="{D5CDD505-2E9C-101B-9397-08002B2CF9AE}" pid="28" name="SharedWithUsers">
    <vt:lpwstr>29;#LIENEMEYER Max (COMP);#44;#SPATHARIS Demos (COMP)</vt:lpwstr>
  </property>
</Properties>
</file>