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CE634D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CE634D" w:rsidRPr="005C4B9C" w:rsidRDefault="00CE634D" w:rsidP="00876D3C">
            <w:pPr>
              <w:jc w:val="center"/>
              <w:rPr>
                <w:b/>
                <w:bCs/>
                <w:sz w:val="28"/>
                <w:szCs w:val="28"/>
              </w:rPr>
            </w:pPr>
            <w:r w:rsidRPr="005C4B9C">
              <w:rPr>
                <w:b/>
                <w:bCs/>
                <w:sz w:val="28"/>
                <w:szCs w:val="28"/>
              </w:rPr>
              <w:t>Analýza vplyvov na informatizáciu spoločnosti</w:t>
            </w:r>
          </w:p>
          <w:p w:rsidR="00CE634D" w:rsidRPr="005C4B9C" w:rsidRDefault="00CE634D" w:rsidP="00876D3C">
            <w:pPr>
              <w:jc w:val="center"/>
              <w:rPr>
                <w:b/>
                <w:i/>
                <w:iCs/>
                <w:sz w:val="2"/>
                <w:szCs w:val="22"/>
              </w:rPr>
            </w:pPr>
          </w:p>
        </w:tc>
      </w:tr>
      <w:tr w:rsidR="00556083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:rsidR="00556083" w:rsidRPr="00F14E8D" w:rsidRDefault="00556083" w:rsidP="00876D3C">
            <w:pPr>
              <w:jc w:val="center"/>
              <w:rPr>
                <w:b/>
                <w:bCs/>
                <w:sz w:val="24"/>
                <w:szCs w:val="24"/>
              </w:rPr>
            </w:pPr>
            <w:r w:rsidRPr="00F14E8D">
              <w:rPr>
                <w:b/>
                <w:bCs/>
                <w:sz w:val="24"/>
                <w:szCs w:val="24"/>
              </w:rPr>
              <w:t>Budovanie základných pilierov informatizácie</w:t>
            </w:r>
          </w:p>
        </w:tc>
      </w:tr>
      <w:tr w:rsidR="005053C8" w:rsidRPr="005C4B9C" w:rsidTr="005053C8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nová služba</w:t>
            </w:r>
          </w:p>
          <w:p w:rsidR="005053C8" w:rsidRPr="00F4692C" w:rsidRDefault="005053C8" w:rsidP="002F7173">
            <w:pPr>
              <w:jc w:val="center"/>
              <w:rPr>
                <w:i/>
                <w:iCs/>
              </w:rPr>
            </w:pPr>
            <w:r w:rsidRPr="00F4692C">
              <w:rPr>
                <w:b/>
              </w:rPr>
              <w:t>B – zmena služby</w:t>
            </w:r>
            <w:r w:rsidR="002F7173">
              <w:rPr>
                <w:b/>
              </w:rPr>
              <w:br/>
              <w:t xml:space="preserve"> C-zvýšené používanie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053C8" w:rsidRPr="00F4692C" w:rsidRDefault="005053C8" w:rsidP="005053C8">
            <w:r w:rsidRPr="00F4692C">
              <w:rPr>
                <w:b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rPr>
                <w:i/>
                <w:iCs/>
              </w:rPr>
            </w:pPr>
            <w:r w:rsidRPr="00F4692C">
              <w:rPr>
                <w:b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:rsidR="005053C8" w:rsidRPr="00F4692C" w:rsidRDefault="005053C8" w:rsidP="005053C8">
            <w:pPr>
              <w:rPr>
                <w:b/>
              </w:rPr>
            </w:pPr>
            <w:r w:rsidRPr="00F4692C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5053C8" w:rsidRPr="005C4B9C" w:rsidTr="005053C8">
        <w:trPr>
          <w:trHeight w:val="20"/>
        </w:trPr>
        <w:tc>
          <w:tcPr>
            <w:tcW w:w="3956" w:type="dxa"/>
          </w:tcPr>
          <w:p w:rsidR="005053C8" w:rsidRPr="0021424E" w:rsidRDefault="005053C8" w:rsidP="002F7173">
            <w:pPr>
              <w:rPr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</w:t>
            </w:r>
            <w:r w:rsidR="002F7173">
              <w:rPr>
                <w:szCs w:val="22"/>
              </w:rPr>
              <w:t>,</w:t>
            </w:r>
            <w:r w:rsidRPr="005C4B9C">
              <w:rPr>
                <w:szCs w:val="22"/>
              </w:rPr>
              <w:t>vytvorenie nových služieb</w:t>
            </w:r>
            <w:r>
              <w:rPr>
                <w:szCs w:val="22"/>
              </w:rPr>
              <w:t xml:space="preserve"> pre občana alebo podnikateľa</w:t>
            </w:r>
            <w:r w:rsidR="002F7173">
              <w:rPr>
                <w:szCs w:val="22"/>
              </w:rPr>
              <w:t xml:space="preserve"> alebo má vplyv na zvýšené používanie existujúcich služieb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446" w:type="dxa"/>
          </w:tcPr>
          <w:p w:rsidR="005053C8" w:rsidRPr="005C4B9C" w:rsidRDefault="005053C8" w:rsidP="00505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5053C8" w:rsidRPr="005C4B9C" w:rsidRDefault="005053C8" w:rsidP="005053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5053C8" w:rsidRPr="005C4B9C" w:rsidRDefault="005053C8" w:rsidP="005053C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5053C8" w:rsidRPr="005C4B9C" w:rsidRDefault="005053C8" w:rsidP="005053C8">
            <w:pPr>
              <w:rPr>
                <w:b/>
                <w:i/>
                <w:sz w:val="22"/>
                <w:szCs w:val="22"/>
              </w:rPr>
            </w:pPr>
          </w:p>
        </w:tc>
      </w:tr>
      <w:tr w:rsidR="005053C8" w:rsidRPr="005C4B9C" w:rsidTr="005053C8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A – nový systém</w:t>
            </w:r>
          </w:p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5053C8" w:rsidRPr="00F4692C" w:rsidRDefault="005053C8" w:rsidP="005053C8">
            <w:pPr>
              <w:jc w:val="center"/>
              <w:rPr>
                <w:b/>
              </w:rPr>
            </w:pPr>
            <w:r w:rsidRPr="00F4692C">
              <w:rPr>
                <w:b/>
              </w:rPr>
              <w:t xml:space="preserve">Vo vládnom </w:t>
            </w:r>
            <w:proofErr w:type="spellStart"/>
            <w:r w:rsidRPr="00F4692C">
              <w:rPr>
                <w:b/>
              </w:rPr>
              <w:t>cloude</w:t>
            </w:r>
            <w:proofErr w:type="spellEnd"/>
            <w:r w:rsidRPr="00F4692C">
              <w:rPr>
                <w:b/>
              </w:rPr>
              <w:t xml:space="preserve"> – áno / nie</w:t>
            </w:r>
          </w:p>
        </w:tc>
      </w:tr>
      <w:tr w:rsidR="005053C8" w:rsidRPr="005C4B9C" w:rsidTr="005053C8">
        <w:trPr>
          <w:trHeight w:val="20"/>
        </w:trPr>
        <w:tc>
          <w:tcPr>
            <w:tcW w:w="3956" w:type="dxa"/>
          </w:tcPr>
          <w:p w:rsidR="005053C8" w:rsidRPr="005C4B9C" w:rsidRDefault="005053C8" w:rsidP="005053C8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</w:t>
            </w:r>
            <w:proofErr w:type="spellStart"/>
            <w:r>
              <w:t>cloude</w:t>
            </w:r>
            <w:proofErr w:type="spellEnd"/>
            <w:r>
              <w:t>?</w:t>
            </w:r>
          </w:p>
        </w:tc>
        <w:tc>
          <w:tcPr>
            <w:tcW w:w="1446" w:type="dxa"/>
          </w:tcPr>
          <w:p w:rsidR="005053C8" w:rsidRPr="005C4B9C" w:rsidRDefault="005053C8" w:rsidP="005053C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3C8" w:rsidRPr="005C4B9C" w:rsidRDefault="005053C8" w:rsidP="005053C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053C8" w:rsidRPr="005C4B9C" w:rsidRDefault="005053C8" w:rsidP="005053C8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3C8" w:rsidRPr="005C4B9C" w:rsidRDefault="005053C8" w:rsidP="005053C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CE634D" w:rsidRPr="005C4B9C" w:rsidTr="005053C8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 w:rsidRPr="00F4692C">
              <w:rPr>
                <w:b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jc w:val="center"/>
              <w:rPr>
                <w:b/>
                <w:i/>
                <w:iCs/>
              </w:rPr>
            </w:pPr>
            <w:r w:rsidRPr="00F4692C">
              <w:rPr>
                <w:b/>
              </w:rPr>
              <w:t>Nadrezortná úroveň</w:t>
            </w:r>
          </w:p>
          <w:p w:rsidR="00CE634D" w:rsidRPr="00F4692C" w:rsidRDefault="00CE634D" w:rsidP="00876D3C">
            <w:pPr>
              <w:jc w:val="center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:rsidR="00CE634D" w:rsidRPr="00F4692C" w:rsidRDefault="00CE634D" w:rsidP="00876D3C">
            <w:pPr>
              <w:rPr>
                <w:b/>
              </w:rPr>
            </w:pPr>
            <w:r w:rsidRPr="00F4692C">
              <w:rPr>
                <w:b/>
              </w:rPr>
              <w:t>A - z prostriedkov EÚ   B - z ďalších zdrojov financovania</w:t>
            </w:r>
          </w:p>
        </w:tc>
      </w:tr>
      <w:tr w:rsidR="00CE634D" w:rsidRPr="005C4B9C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jc w:val="both"/>
              <w:rPr>
                <w:szCs w:val="22"/>
              </w:rPr>
            </w:pPr>
            <w:r w:rsidRPr="005C4B9C">
              <w:rPr>
                <w:b/>
                <w:szCs w:val="22"/>
              </w:rPr>
              <w:t>6.3.</w:t>
            </w:r>
            <w:r w:rsidRPr="005C4B9C">
              <w:rPr>
                <w:szCs w:val="22"/>
              </w:rPr>
              <w:t xml:space="preserve"> Vyžaduje si proces informatizácie  finančné investície?</w:t>
            </w:r>
          </w:p>
          <w:p w:rsidR="00CE634D" w:rsidRPr="005C4B9C" w:rsidRDefault="00CE634D" w:rsidP="00876D3C">
            <w:pPr>
              <w:spacing w:line="20" w:lineRule="atLeast"/>
              <w:jc w:val="both"/>
              <w:rPr>
                <w:sz w:val="24"/>
                <w:szCs w:val="24"/>
              </w:rPr>
            </w:pPr>
            <w:r w:rsidRPr="005C4B9C">
              <w:rPr>
                <w:i/>
                <w:iCs/>
                <w:szCs w:val="22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E634D" w:rsidRPr="005C4B9C" w:rsidRDefault="00CE634D" w:rsidP="00876D3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20346B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20346B" w:rsidRPr="00F14E8D" w:rsidRDefault="00556083" w:rsidP="0020346B">
            <w:pPr>
              <w:spacing w:line="20" w:lineRule="atLeast"/>
              <w:ind w:hanging="55"/>
              <w:jc w:val="center"/>
              <w:rPr>
                <w:i/>
                <w:iCs/>
                <w:sz w:val="24"/>
                <w:szCs w:val="24"/>
                <w:highlight w:val="darkGray"/>
              </w:rPr>
            </w:pPr>
            <w:r w:rsidRPr="00F14E8D">
              <w:rPr>
                <w:b/>
                <w:sz w:val="24"/>
                <w:szCs w:val="24"/>
              </w:rPr>
              <w:t>Zjednodušenie prístupu ku konaniu a odstraňovanie byrokracie</w:t>
            </w:r>
          </w:p>
        </w:tc>
      </w:tr>
      <w:tr w:rsidR="00556083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556083" w:rsidRPr="00F4692C" w:rsidRDefault="00556083" w:rsidP="0020346B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20346B" w:rsidRPr="005C4B9C" w:rsidTr="005053C8">
        <w:trPr>
          <w:trHeight w:val="20"/>
        </w:trPr>
        <w:tc>
          <w:tcPr>
            <w:tcW w:w="3956" w:type="dxa"/>
          </w:tcPr>
          <w:p w:rsidR="0020346B" w:rsidRPr="005C4B9C" w:rsidRDefault="0020346B" w:rsidP="0020346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 w:rsidR="001E13E1"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346B" w:rsidRPr="00F04CCD" w:rsidTr="00876D3C">
              <w:sdt>
                <w:sdt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346B" w:rsidRPr="00F04CCD" w:rsidRDefault="0020346B" w:rsidP="0020346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346B" w:rsidRPr="00F04CCD" w:rsidTr="00876D3C">
              <w:sdt>
                <w:sdtPr>
                  <w:id w:val="-2000255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346B" w:rsidRPr="00F04CCD" w:rsidRDefault="0020346B" w:rsidP="0020346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346B" w:rsidRPr="00F04CCD" w:rsidRDefault="0020346B" w:rsidP="0020346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20346B" w:rsidRPr="00FA16FE" w:rsidRDefault="0020346B" w:rsidP="0020346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20346B" w:rsidRPr="005C4B9C" w:rsidRDefault="0020346B" w:rsidP="0020346B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 xml:space="preserve">(Uveďte, o aké </w:t>
            </w:r>
            <w:r w:rsidR="001E13E1">
              <w:rPr>
                <w:i/>
                <w:iCs/>
                <w:szCs w:val="22"/>
              </w:rPr>
              <w:t>konanie ide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9458436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sú niektoré úkony v konaní, alebo celé konanie viazané na listinnú podobu komunikácie, uveďte o aké ide a z akého dôvodu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8128715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</w:t>
            </w:r>
            <w:r>
              <w:rPr>
                <w:i/>
                <w:iCs/>
                <w:szCs w:val="22"/>
              </w:rPr>
              <w:t>Ak úprava konania je odlišná od úpravy v zákone o e-</w:t>
            </w:r>
            <w:r w:rsidR="00830BE8">
              <w:rPr>
                <w:i/>
                <w:iCs/>
                <w:szCs w:val="22"/>
              </w:rPr>
              <w:t>Governmente</w:t>
            </w:r>
            <w:r>
              <w:rPr>
                <w:i/>
                <w:iCs/>
                <w:szCs w:val="22"/>
              </w:rPr>
              <w:t xml:space="preserve"> alebo ak je použitie zákona o e-</w:t>
            </w:r>
            <w:r w:rsidR="00830BE8">
              <w:rPr>
                <w:i/>
                <w:iCs/>
                <w:szCs w:val="22"/>
              </w:rPr>
              <w:t>Governmente</w:t>
            </w:r>
            <w:r>
              <w:rPr>
                <w:i/>
                <w:iCs/>
                <w:szCs w:val="22"/>
              </w:rPr>
              <w:t xml:space="preserve"> vylúčené, uveďte čoho sa to týka a z akého dôvodu</w:t>
            </w:r>
            <w:r w:rsidR="00D812FD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9371" w:type="dxa"/>
            <w:gridSpan w:val="6"/>
            <w:shd w:val="clear" w:color="auto" w:fill="BFBFBF" w:themeFill="background1" w:themeFillShade="BF"/>
          </w:tcPr>
          <w:p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FB4FEA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="00FB4FEA" w:rsidRPr="00F14E8D">
              <w:rPr>
                <w:bCs/>
                <w:szCs w:val="22"/>
              </w:rPr>
              <w:t>Predpokladá predložený návrh predklada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dokument</w:t>
            </w:r>
            <w:r w:rsidR="0001364B">
              <w:rPr>
                <w:bCs/>
                <w:szCs w:val="22"/>
              </w:rPr>
              <w:t>ov</w:t>
            </w:r>
            <w:r w:rsidR="00FB4FEA" w:rsidRPr="00F14E8D">
              <w:rPr>
                <w:bCs/>
                <w:szCs w:val="22"/>
              </w:rPr>
              <w:t>, informáci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alebo preukazova</w:t>
            </w:r>
            <w:r w:rsidR="0001364B">
              <w:rPr>
                <w:bCs/>
                <w:szCs w:val="22"/>
              </w:rPr>
              <w:t>nie</w:t>
            </w:r>
            <w:r w:rsidR="00FB4FEA" w:rsidRPr="00F14E8D">
              <w:rPr>
                <w:bCs/>
                <w:szCs w:val="22"/>
              </w:rPr>
              <w:t xml:space="preserve"> skutočnost</w:t>
            </w:r>
            <w:r w:rsidR="0001364B">
              <w:rPr>
                <w:bCs/>
                <w:szCs w:val="22"/>
              </w:rPr>
              <w:t>í</w:t>
            </w:r>
            <w:r w:rsidR="00FB4FEA" w:rsidRPr="00F14E8D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794538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E13E1" w:rsidRPr="005C4B9C" w:rsidRDefault="001E13E1" w:rsidP="001E13E1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(Uveďte, o aké údaje ide a v akom konaní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07487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="00074872" w:rsidRPr="00F14E8D">
              <w:rPr>
                <w:bCs/>
                <w:szCs w:val="22"/>
              </w:rPr>
              <w:t xml:space="preserve">Predpokladá predložený návrh, aby </w:t>
            </w:r>
            <w:r w:rsidR="0001364B">
              <w:rPr>
                <w:bCs/>
                <w:szCs w:val="22"/>
              </w:rPr>
              <w:t>sa</w:t>
            </w:r>
            <w:r w:rsidR="00074872" w:rsidRPr="00F14E8D">
              <w:rPr>
                <w:bCs/>
                <w:szCs w:val="22"/>
              </w:rPr>
              <w:t xml:space="preserve"> predkladal</w:t>
            </w:r>
            <w:r w:rsidR="0001364B">
              <w:rPr>
                <w:bCs/>
                <w:szCs w:val="22"/>
              </w:rPr>
              <w:t>i</w:t>
            </w:r>
            <w:r w:rsidR="00074872" w:rsidRPr="00F14E8D">
              <w:rPr>
                <w:bCs/>
                <w:szCs w:val="22"/>
              </w:rPr>
              <w:t xml:space="preserve"> údaje, ktoré sa nachádzajú v zákonom ustanovenej evidencii</w:t>
            </w:r>
            <w:r w:rsidR="0001364B">
              <w:rPr>
                <w:bCs/>
                <w:szCs w:val="22"/>
              </w:rPr>
              <w:t xml:space="preserve"> vedenej orgánom, ktorý konanie vedie alebo iným orgánom</w:t>
            </w:r>
            <w:r w:rsidR="00074872" w:rsidRPr="00F14E8D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617261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(Uveďte, o</w:t>
            </w:r>
            <w:r>
              <w:rPr>
                <w:i/>
                <w:iCs/>
                <w:szCs w:val="22"/>
              </w:rPr>
              <w:t> </w:t>
            </w:r>
            <w:r w:rsidRPr="00FA16FE">
              <w:rPr>
                <w:i/>
                <w:iCs/>
                <w:szCs w:val="22"/>
              </w:rPr>
              <w:t>ak</w:t>
            </w:r>
            <w:r>
              <w:rPr>
                <w:i/>
                <w:iCs/>
                <w:szCs w:val="22"/>
              </w:rPr>
              <w:t>ú evidenciu ide</w:t>
            </w:r>
            <w:r w:rsidR="00830BE8"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 w:rsidR="001A4047">
              <w:rPr>
                <w:bCs/>
                <w:szCs w:val="22"/>
              </w:rPr>
              <w:t xml:space="preserve">subjektom súkromného práva, </w:t>
            </w:r>
            <w:r w:rsidR="001A4047" w:rsidRPr="001E754E">
              <w:rPr>
                <w:bCs/>
                <w:szCs w:val="22"/>
              </w:rPr>
              <w:t>navrhovateľ</w:t>
            </w:r>
            <w:r w:rsidR="001A4047">
              <w:rPr>
                <w:bCs/>
                <w:szCs w:val="22"/>
              </w:rPr>
              <w:t xml:space="preserve">om, </w:t>
            </w:r>
            <w:r w:rsidR="001A4047" w:rsidRPr="001E754E">
              <w:rPr>
                <w:bCs/>
                <w:szCs w:val="22"/>
              </w:rPr>
              <w:t>žiadateľ</w:t>
            </w:r>
            <w:r w:rsidR="001A4047"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1730609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1E13E1" w:rsidRPr="005C4B9C" w:rsidRDefault="001E13E1" w:rsidP="001E13E1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</w:t>
            </w:r>
            <w:r w:rsidR="00D26FDC">
              <w:rPr>
                <w:szCs w:val="22"/>
              </w:rPr>
              <w:t xml:space="preserve">mu </w:t>
            </w:r>
            <w:r>
              <w:rPr>
                <w:szCs w:val="22"/>
              </w:rPr>
              <w:t xml:space="preserve">budú predkladané </w:t>
            </w:r>
            <w:r w:rsidR="002003D2">
              <w:rPr>
                <w:szCs w:val="22"/>
              </w:rPr>
              <w:t>účastníkom konania</w:t>
            </w:r>
            <w:r>
              <w:rPr>
                <w:szCs w:val="22"/>
              </w:rPr>
              <w:t xml:space="preserve">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1E13E1" w:rsidRPr="00F04CCD" w:rsidTr="00876D3C">
              <w:sdt>
                <w:sdt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1E13E1" w:rsidRPr="00F04CCD" w:rsidTr="00876D3C">
              <w:sdt>
                <w:sdtPr>
                  <w:id w:val="-4397675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1E13E1" w:rsidRPr="00F04CCD" w:rsidRDefault="001E13E1" w:rsidP="001E13E1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1E13E1" w:rsidRPr="00F04CCD" w:rsidRDefault="001E13E1" w:rsidP="001E13E1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1E13E1" w:rsidRPr="00FA16FE" w:rsidRDefault="001E13E1" w:rsidP="001E13E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1E13E1" w:rsidRPr="005C4B9C" w:rsidRDefault="001E13E1" w:rsidP="001E13E1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akým spôsobom budú údaje v konaní predkladané/preukazované v budúcnosti. Ak sa vyžaduje predloženie </w:t>
            </w:r>
            <w:r w:rsidR="002003D2">
              <w:rPr>
                <w:i/>
                <w:iCs/>
                <w:szCs w:val="22"/>
              </w:rPr>
              <w:t>účastníkom konania</w:t>
            </w:r>
            <w:r>
              <w:rPr>
                <w:i/>
                <w:iCs/>
                <w:szCs w:val="22"/>
              </w:rPr>
              <w:t>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1E13E1" w:rsidRPr="005C4B9C" w:rsidTr="005053C8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:rsidR="001E13E1" w:rsidRPr="00F4692C" w:rsidRDefault="001E13E1" w:rsidP="001E13E1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6A75AB" w:rsidRPr="005C4B9C" w:rsidTr="005053C8">
        <w:trPr>
          <w:trHeight w:val="20"/>
        </w:trPr>
        <w:tc>
          <w:tcPr>
            <w:tcW w:w="3956" w:type="dxa"/>
          </w:tcPr>
          <w:p w:rsidR="006A75AB" w:rsidRPr="005C4B9C" w:rsidRDefault="006A75AB" w:rsidP="006A75AB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</w:t>
            </w:r>
            <w:r w:rsidR="008E559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.</w:t>
            </w:r>
            <w:r w:rsidR="008E5590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 xml:space="preserve">. </w:t>
            </w:r>
            <w:r w:rsidR="00BC2D66"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6A75AB" w:rsidRPr="00F04CCD" w:rsidTr="00876D3C">
              <w:sdt>
                <w:sdtPr>
                  <w:id w:val="-581141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A75AB" w:rsidRPr="00F04CCD" w:rsidRDefault="006A75AB" w:rsidP="006A75A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6A75AB" w:rsidRPr="00F04CCD" w:rsidTr="00876D3C">
              <w:sdt>
                <w:sdtPr>
                  <w:id w:val="-561481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6A75AB" w:rsidRPr="00F04CCD" w:rsidRDefault="006A75AB" w:rsidP="006A75AB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6A75AB" w:rsidRPr="00F04CCD" w:rsidRDefault="006A75AB" w:rsidP="006A75AB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6A75AB" w:rsidRPr="00FA16FE" w:rsidRDefault="006A75AB" w:rsidP="006A75AB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6A75AB" w:rsidRPr="005C4B9C" w:rsidRDefault="006A75AB" w:rsidP="00E33A98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BC2D66">
              <w:rPr>
                <w:i/>
                <w:iCs/>
                <w:szCs w:val="22"/>
              </w:rPr>
              <w:t>aká nová evidenci</w:t>
            </w:r>
            <w:r w:rsidR="00E33A98">
              <w:rPr>
                <w:i/>
                <w:iCs/>
                <w:szCs w:val="22"/>
              </w:rPr>
              <w:t>a</w:t>
            </w:r>
            <w:r w:rsidR="00BC2D66"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8E2724" w:rsidRPr="005C4B9C" w:rsidTr="005053C8">
        <w:trPr>
          <w:trHeight w:val="20"/>
        </w:trPr>
        <w:tc>
          <w:tcPr>
            <w:tcW w:w="3956" w:type="dxa"/>
          </w:tcPr>
          <w:p w:rsidR="008E2724" w:rsidRPr="005C4B9C" w:rsidRDefault="008E2724" w:rsidP="008E2724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 w:rsidR="003C08DD">
              <w:rPr>
                <w:szCs w:val="22"/>
              </w:rPr>
              <w:t>Umožňuje</w:t>
            </w:r>
            <w:r>
              <w:rPr>
                <w:szCs w:val="22"/>
              </w:rPr>
              <w:t xml:space="preserve"> predložený návrh </w:t>
            </w:r>
            <w:r w:rsidR="003C08DD">
              <w:rPr>
                <w:szCs w:val="22"/>
              </w:rPr>
              <w:t>poskytovanie údajov z evidencie iným orgánom verejnej moci, resp. iným osobám na plnenie ich zákonom ustanovených úloh bez obmedzenia subjektu</w:t>
            </w:r>
            <w:r w:rsidR="00485C0A">
              <w:rPr>
                <w:szCs w:val="22"/>
              </w:rPr>
              <w:t xml:space="preserve">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E2724" w:rsidRPr="00F04CCD" w:rsidTr="00876D3C">
              <w:sdt>
                <w:sdt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E2724" w:rsidRPr="00F04CCD" w:rsidRDefault="008E2724" w:rsidP="008E272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E2724" w:rsidRPr="00F04CCD" w:rsidTr="00876D3C">
              <w:sdt>
                <w:sdtPr>
                  <w:id w:val="-12885076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E2724" w:rsidRPr="00F04CCD" w:rsidRDefault="008E2724" w:rsidP="008E2724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E2724" w:rsidRPr="00F04CCD" w:rsidRDefault="008E2724" w:rsidP="008E2724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8E2724" w:rsidRPr="00FA16FE" w:rsidRDefault="008E2724" w:rsidP="008E272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8E2724" w:rsidRPr="005C4B9C" w:rsidRDefault="008E2724" w:rsidP="008E2724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3C08DD">
              <w:rPr>
                <w:i/>
                <w:iCs/>
                <w:szCs w:val="22"/>
              </w:rPr>
              <w:t>ktorým orgánom verejnej moci, resp. iným osobám nie je možné údaje z evidencie poskytnúť</w:t>
            </w:r>
            <w:r w:rsidR="00B955BB">
              <w:rPr>
                <w:i/>
                <w:iCs/>
                <w:szCs w:val="22"/>
              </w:rPr>
              <w:t xml:space="preserve">, aj ak ich na plnenie zákonných úloh potrebujú </w:t>
            </w:r>
            <w:r w:rsidR="003C08DD">
              <w:rPr>
                <w:i/>
                <w:iCs/>
                <w:szCs w:val="22"/>
              </w:rPr>
              <w:t>a z akého dôvodu</w:t>
            </w:r>
            <w:r>
              <w:rPr>
                <w:i/>
                <w:iCs/>
                <w:szCs w:val="22"/>
              </w:rPr>
              <w:t>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8738C2" w:rsidRPr="005C4B9C" w:rsidTr="005053C8">
        <w:trPr>
          <w:trHeight w:val="20"/>
        </w:trPr>
        <w:tc>
          <w:tcPr>
            <w:tcW w:w="3956" w:type="dxa"/>
          </w:tcPr>
          <w:p w:rsidR="008738C2" w:rsidRPr="005C4B9C" w:rsidRDefault="008738C2" w:rsidP="008738C2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 w:rsidR="005E580A"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8738C2" w:rsidRPr="00F04CCD" w:rsidTr="00876D3C">
              <w:sdt>
                <w:sdt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738C2" w:rsidRPr="00F04CCD" w:rsidRDefault="008738C2" w:rsidP="008738C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8738C2" w:rsidRPr="00F04CCD" w:rsidTr="00876D3C">
              <w:sdt>
                <w:sdtPr>
                  <w:id w:val="11688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8738C2" w:rsidRPr="00F04CCD" w:rsidRDefault="008738C2" w:rsidP="008738C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8738C2" w:rsidRPr="00F04CCD" w:rsidRDefault="008738C2" w:rsidP="008738C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8738C2" w:rsidRPr="00FA16FE" w:rsidRDefault="008738C2" w:rsidP="008738C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8738C2" w:rsidRPr="005C4B9C" w:rsidRDefault="008738C2" w:rsidP="008738C2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 xml:space="preserve">, </w:t>
            </w:r>
            <w:r w:rsidR="005E580A">
              <w:rPr>
                <w:i/>
                <w:iCs/>
                <w:szCs w:val="22"/>
              </w:rPr>
              <w:t>akým spôsobom je zabezpečené poskytovanie údajov z evidencie pre iné subjekty na plnenie ich zákonných úloh</w:t>
            </w:r>
            <w:r>
              <w:rPr>
                <w:i/>
                <w:iCs/>
                <w:szCs w:val="22"/>
              </w:rPr>
              <w:t>.</w:t>
            </w:r>
            <w:r w:rsidR="002003D2">
              <w:rPr>
                <w:i/>
                <w:iCs/>
                <w:szCs w:val="22"/>
              </w:rPr>
              <w:t xml:space="preserve"> Ak sa na poskytovanie údajov nepoužíva modul procesnej integrácie a integrácie údajov, uveďte dôvod</w:t>
            </w:r>
            <w:r w:rsidR="0022052B">
              <w:rPr>
                <w:i/>
                <w:iCs/>
                <w:szCs w:val="22"/>
              </w:rPr>
              <w:t>.</w:t>
            </w:r>
            <w:r w:rsidR="00255BCB">
              <w:rPr>
                <w:i/>
                <w:iCs/>
                <w:szCs w:val="22"/>
              </w:rPr>
              <w:t xml:space="preserve"> Ak je elektronické alebo automatizované poskytovanie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  <w:r w:rsidR="00074872">
              <w:t xml:space="preserve"> </w:t>
            </w:r>
          </w:p>
        </w:tc>
      </w:tr>
      <w:tr w:rsidR="004A7FC6" w:rsidRPr="005C4B9C" w:rsidTr="005053C8">
        <w:trPr>
          <w:trHeight w:val="20"/>
        </w:trPr>
        <w:tc>
          <w:tcPr>
            <w:tcW w:w="3956" w:type="dxa"/>
          </w:tcPr>
          <w:p w:rsidR="004A7FC6" w:rsidRPr="005C4B9C" w:rsidRDefault="004A7FC6" w:rsidP="004A7FC6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6.6.</w:t>
            </w:r>
            <w:r w:rsidR="00A1057A">
              <w:rPr>
                <w:b/>
                <w:szCs w:val="22"/>
              </w:rPr>
              <w:t>4</w:t>
            </w:r>
            <w:r>
              <w:rPr>
                <w:b/>
                <w:szCs w:val="22"/>
              </w:rPr>
              <w:t xml:space="preserve">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4A7FC6" w:rsidRPr="00F04CCD" w:rsidTr="00876D3C">
              <w:sdt>
                <w:sdt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7FC6" w:rsidRPr="00F04CCD" w:rsidRDefault="004A7FC6" w:rsidP="004A7FC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4A7FC6" w:rsidRPr="00F04CCD" w:rsidTr="00876D3C">
              <w:sdt>
                <w:sdtPr>
                  <w:id w:val="-1689520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4A7FC6" w:rsidRPr="00F04CCD" w:rsidRDefault="004A7FC6" w:rsidP="004A7FC6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4A7FC6" w:rsidRPr="00F04CCD" w:rsidRDefault="004A7FC6" w:rsidP="004A7FC6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4A7FC6" w:rsidRPr="00FA16FE" w:rsidRDefault="004A7FC6" w:rsidP="004A7FC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4A7FC6" w:rsidRPr="005C4B9C" w:rsidRDefault="004A7FC6" w:rsidP="004A7FC6">
            <w:pPr>
              <w:rPr>
                <w:i/>
                <w:iCs/>
                <w:sz w:val="24"/>
                <w:szCs w:val="24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ako je na zákonnej úrovni inštitucionalizované elektronické a automatizované poskytovanie údajov z evidencie, akým režimom sa riadi.</w:t>
            </w:r>
            <w:r w:rsidR="000E09F1">
              <w:rPr>
                <w:i/>
                <w:iCs/>
                <w:szCs w:val="22"/>
              </w:rPr>
              <w:t xml:space="preserve"> Ak je použitie zákona č. 177/2018 Z.z. v znení neskorších predpisov vylúčené, uveďte dôvod.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2003D2" w:rsidRPr="005C4B9C" w:rsidTr="00FC5360">
        <w:trPr>
          <w:trHeight w:val="20"/>
        </w:trPr>
        <w:tc>
          <w:tcPr>
            <w:tcW w:w="9371" w:type="dxa"/>
            <w:gridSpan w:val="6"/>
            <w:shd w:val="clear" w:color="auto" w:fill="A6A6A6" w:themeFill="background1" w:themeFillShade="A6"/>
          </w:tcPr>
          <w:p w:rsidR="002003D2" w:rsidRPr="00FA16FE" w:rsidRDefault="002003D2" w:rsidP="00F14E8D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2003D2" w:rsidRPr="005C4B9C" w:rsidTr="005053C8">
        <w:trPr>
          <w:trHeight w:val="20"/>
        </w:trPr>
        <w:tc>
          <w:tcPr>
            <w:tcW w:w="3956" w:type="dxa"/>
          </w:tcPr>
          <w:p w:rsidR="002003D2" w:rsidRPr="00F14E8D" w:rsidRDefault="002003D2" w:rsidP="0022052B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F14E8D">
              <w:rPr>
                <w:szCs w:val="22"/>
              </w:rPr>
              <w:t xml:space="preserve"> Predpokladá predložený návrh zriadenie novej evidencie údajov</w:t>
            </w:r>
            <w:r w:rsidR="009519E6">
              <w:rPr>
                <w:szCs w:val="22"/>
              </w:rPr>
              <w:t xml:space="preserve"> alebo upravuje vedenie evidencie údajov</w:t>
            </w:r>
            <w:r w:rsidRPr="00F14E8D">
              <w:rPr>
                <w:szCs w:val="22"/>
              </w:rPr>
              <w:t xml:space="preserve">, </w:t>
            </w:r>
            <w:r w:rsidR="009519E6">
              <w:rPr>
                <w:szCs w:val="22"/>
              </w:rPr>
              <w:t>ktoré budú navrhnuté na zaradenie</w:t>
            </w:r>
            <w:r w:rsidRPr="00F14E8D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F14E8D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F14E8D">
              <w:rPr>
                <w:szCs w:val="22"/>
              </w:rPr>
              <w:t xml:space="preserve"> § 51 zákona č. 305/20</w:t>
            </w:r>
            <w:r w:rsidR="0022052B">
              <w:rPr>
                <w:szCs w:val="22"/>
              </w:rPr>
              <w:t>1</w:t>
            </w:r>
            <w:r w:rsidRPr="00F14E8D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2003D2" w:rsidRPr="00F04CCD" w:rsidTr="00876D3C">
              <w:sdt>
                <w:sdt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03D2" w:rsidRPr="00F04CCD" w:rsidRDefault="002003D2" w:rsidP="002003D2">
                      <w:pPr>
                        <w:jc w:val="center"/>
                      </w:pPr>
                      <w:r w:rsidRPr="00F04CCD">
                        <w:rPr>
                          <w:rFonts w:ascii="Segoe UI Symbol" w:eastAsia="MS Mincho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2003D2" w:rsidRPr="00F04CCD" w:rsidTr="00876D3C">
              <w:sdt>
                <w:sdtPr>
                  <w:id w:val="-159857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2003D2" w:rsidRPr="00F04CCD" w:rsidRDefault="002003D2" w:rsidP="002003D2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2003D2" w:rsidRPr="00F04CCD" w:rsidRDefault="002003D2" w:rsidP="002003D2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2003D2" w:rsidRDefault="002003D2" w:rsidP="002003D2">
            <w:pPr>
              <w:jc w:val="center"/>
            </w:pPr>
          </w:p>
        </w:tc>
        <w:tc>
          <w:tcPr>
            <w:tcW w:w="3969" w:type="dxa"/>
            <w:gridSpan w:val="4"/>
          </w:tcPr>
          <w:p w:rsidR="002003D2" w:rsidRPr="00FA16FE" w:rsidRDefault="002003D2" w:rsidP="0022052B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aká nová evidenci</w:t>
            </w:r>
            <w:r w:rsidR="0022052B">
              <w:rPr>
                <w:i/>
                <w:iCs/>
                <w:szCs w:val="22"/>
              </w:rPr>
              <w:t>a</w:t>
            </w:r>
            <w:r>
              <w:rPr>
                <w:i/>
                <w:iCs/>
                <w:szCs w:val="22"/>
              </w:rPr>
              <w:t xml:space="preserve"> údajov sa zriaďuje, resp. akú evidenciu údajov návrh upravuje</w:t>
            </w:r>
            <w:r w:rsidR="009519E6">
              <w:rPr>
                <w:i/>
                <w:iCs/>
                <w:szCs w:val="22"/>
              </w:rPr>
              <w:t xml:space="preserve"> a ktoré údaje z nej budú navrhnuté na zaradenie do zoznamu referenčných údajov</w:t>
            </w:r>
            <w:r>
              <w:rPr>
                <w:i/>
                <w:iCs/>
                <w:szCs w:val="22"/>
              </w:rPr>
              <w:t>.</w:t>
            </w:r>
            <w:r w:rsidR="009519E6">
              <w:rPr>
                <w:i/>
                <w:iCs/>
                <w:szCs w:val="22"/>
              </w:rPr>
              <w:t xml:space="preserve"> Ak sa neplánuje zaradenie žiadnych údajov, uveďte dôvod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  <w:tr w:rsidR="009519E6" w:rsidRPr="005C4B9C" w:rsidTr="005053C8">
        <w:trPr>
          <w:trHeight w:val="20"/>
        </w:trPr>
        <w:tc>
          <w:tcPr>
            <w:tcW w:w="3956" w:type="dxa"/>
          </w:tcPr>
          <w:p w:rsidR="009519E6" w:rsidRPr="00F14E8D" w:rsidRDefault="009519E6" w:rsidP="005B737D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 w:rsidR="005B737D">
              <w:rPr>
                <w:szCs w:val="22"/>
              </w:rPr>
              <w:t>1</w:t>
            </w:r>
            <w:r w:rsidRPr="001E754E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9519E6" w:rsidRPr="00F04CCD" w:rsidTr="00876D3C">
              <w:tc>
                <w:tcPr>
                  <w:tcW w:w="436" w:type="dxa"/>
                </w:tcPr>
                <w:p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  <w:tr w:rsidR="009519E6" w:rsidRPr="00F04CCD" w:rsidTr="00876D3C">
              <w:tc>
                <w:tcPr>
                  <w:tcW w:w="436" w:type="dxa"/>
                </w:tcPr>
                <w:p w:rsidR="009519E6" w:rsidRPr="00F04CCD" w:rsidRDefault="009519E6" w:rsidP="009519E6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9519E6" w:rsidRPr="00F04CCD" w:rsidRDefault="009519E6" w:rsidP="009519E6">
                  <w:pPr>
                    <w:rPr>
                      <w:b/>
                    </w:rPr>
                  </w:pPr>
                </w:p>
              </w:tc>
            </w:tr>
          </w:tbl>
          <w:p w:rsidR="009519E6" w:rsidRDefault="009519E6" w:rsidP="009519E6">
            <w:pPr>
              <w:jc w:val="center"/>
            </w:pPr>
          </w:p>
        </w:tc>
        <w:tc>
          <w:tcPr>
            <w:tcW w:w="3969" w:type="dxa"/>
            <w:gridSpan w:val="4"/>
          </w:tcPr>
          <w:p w:rsidR="009519E6" w:rsidRPr="00FA16FE" w:rsidRDefault="009519E6" w:rsidP="009519E6">
            <w:pPr>
              <w:rPr>
                <w:i/>
                <w:iCs/>
                <w:szCs w:val="22"/>
              </w:rPr>
            </w:pPr>
            <w:r w:rsidRPr="00FA16FE">
              <w:rPr>
                <w:i/>
                <w:iCs/>
                <w:szCs w:val="22"/>
              </w:rPr>
              <w:t>(Uveďte</w:t>
            </w:r>
            <w:r>
              <w:rPr>
                <w:i/>
                <w:iCs/>
                <w:szCs w:val="22"/>
              </w:rPr>
              <w:t>, kedy sa plánuje zaradenie vyššie uvedených údajov do zoznamu referenčných údajov.</w:t>
            </w:r>
            <w:r w:rsidRPr="00FA16FE">
              <w:rPr>
                <w:i/>
                <w:iCs/>
                <w:szCs w:val="22"/>
              </w:rPr>
              <w:t>)</w:t>
            </w:r>
          </w:p>
        </w:tc>
      </w:tr>
    </w:tbl>
    <w:p w:rsidR="00BE1A67" w:rsidRPr="00852496" w:rsidRDefault="00BE1A67" w:rsidP="00BE1A67">
      <w:pPr>
        <w:jc w:val="both"/>
        <w:rPr>
          <w:b/>
          <w:bCs/>
          <w:i/>
          <w:sz w:val="24"/>
          <w:szCs w:val="24"/>
          <w:highlight w:val="yellow"/>
        </w:rPr>
      </w:pPr>
    </w:p>
    <w:p w:rsidR="002D7B26" w:rsidRDefault="002D7B26" w:rsidP="00CE634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  <w:sectPr w:rsidR="002D7B26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692C" w:rsidRPr="005C4B9C" w:rsidRDefault="00F4692C" w:rsidP="00F4692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 w:rsidRPr="005C4B9C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Metodický postup pre analýzu vplyvov na informatizáciu </w:t>
      </w:r>
    </w:p>
    <w:p w:rsidR="00F4692C" w:rsidRPr="005C4B9C" w:rsidRDefault="00F4692C" w:rsidP="00F4692C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F4692C" w:rsidRPr="00350E24" w:rsidRDefault="00F4692C" w:rsidP="00F4692C">
      <w:pPr>
        <w:spacing w:before="12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Predkladateľ pri vypracovávaní doložky v časti týkajúcej sa vplyvov na informatizáciu spoločnosti identifikuje vplyvy na </w:t>
      </w:r>
      <w:r w:rsidR="00867E33">
        <w:rPr>
          <w:rFonts w:eastAsia="Calibri"/>
          <w:bCs/>
          <w:color w:val="000000"/>
          <w:sz w:val="24"/>
          <w:szCs w:val="24"/>
          <w:lang w:eastAsia="en-US"/>
        </w:rPr>
        <w:t xml:space="preserve">základné piliere informatizácie (biznis vrstvu, aplikačnú a technologickú infraštruktúru a ich financovanie) a vplyvy na prístup k elektronickým službám a znižovanie byrokratického zaťaženia pri elektronickej komunikácii s orgánmi verejnej moci.  </w:t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Uvedené oblasti predstavujú v zmysle zákona č. 95/2019 Z.z. o ITVS a v zmysle Národnej koncepcie informatizácie verejnej správy posúdenie vplyvov na informačné technológie. </w:t>
      </w:r>
    </w:p>
    <w:p w:rsidR="00F4692C" w:rsidRPr="00350E24" w:rsidRDefault="00F4692C" w:rsidP="00F4692C">
      <w:pPr>
        <w:spacing w:before="12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50E24">
        <w:rPr>
          <w:rFonts w:eastAsia="Calibri"/>
          <w:bCs/>
          <w:color w:val="000000"/>
          <w:sz w:val="24"/>
          <w:szCs w:val="24"/>
          <w:lang w:eastAsia="en-US"/>
        </w:rPr>
        <w:t>Informačnou technológiou  je prostriedok alebo postup, ktorý slúži na spracúvanie údajov alebo informácií v elektronickej podobe, najmä informačný systém, infraštruktúra, informačná činnosť a elektronické služby.</w:t>
      </w:r>
    </w:p>
    <w:p w:rsidR="00F4692C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 xml:space="preserve">Analýza vplyvov sa </w:t>
      </w:r>
      <w:r w:rsidR="00867E33">
        <w:rPr>
          <w:rFonts w:eastAsia="Calibri"/>
          <w:bCs/>
          <w:color w:val="000000"/>
          <w:sz w:val="24"/>
          <w:szCs w:val="24"/>
          <w:lang w:eastAsia="en-US"/>
        </w:rPr>
        <w:t xml:space="preserve">v prvej časti (piliere informatizácie a ich financovanie) </w:t>
      </w:r>
      <w:r>
        <w:rPr>
          <w:rFonts w:eastAsia="Calibri"/>
          <w:bCs/>
          <w:color w:val="000000"/>
          <w:sz w:val="24"/>
          <w:szCs w:val="24"/>
          <w:lang w:eastAsia="en-US"/>
        </w:rPr>
        <w:t>zameriava na i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nformačný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systém ako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funkčný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celok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zabezpečujúci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cieľavedomú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a systematickú informačnú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činnosť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prostredníctvom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technických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prostriedkov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a</w:t>
      </w:r>
      <w:r>
        <w:rPr>
          <w:rFonts w:eastAsia="Calibri"/>
          <w:bCs/>
          <w:color w:val="000000"/>
          <w:sz w:val="24"/>
          <w:szCs w:val="24"/>
          <w:lang w:eastAsia="en-US"/>
        </w:rPr>
        <w:t> 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programových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prostriedkov.</w:t>
      </w:r>
      <w:r w:rsidR="00867E33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Informačn</w:t>
      </w:r>
      <w:r>
        <w:rPr>
          <w:rFonts w:eastAsia="Calibri"/>
          <w:bCs/>
          <w:color w:val="000000"/>
          <w:sz w:val="24"/>
          <w:szCs w:val="24"/>
          <w:lang w:eastAsia="en-US"/>
        </w:rPr>
        <w:t>á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 xml:space="preserve"> technológi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a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verejnej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správy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v</w:t>
      </w:r>
      <w:r>
        <w:rPr>
          <w:rFonts w:eastAsia="Calibri"/>
          <w:bCs/>
          <w:color w:val="000000"/>
          <w:sz w:val="24"/>
          <w:szCs w:val="24"/>
          <w:lang w:eastAsia="en-US"/>
        </w:rPr>
        <w:t> 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pôsobnosti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správcu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podporuj</w:t>
      </w:r>
      <w:r>
        <w:rPr>
          <w:rFonts w:eastAsia="Calibri"/>
          <w:bCs/>
          <w:color w:val="000000"/>
          <w:sz w:val="24"/>
          <w:szCs w:val="24"/>
          <w:lang w:eastAsia="en-US"/>
        </w:rPr>
        <w:t>e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 xml:space="preserve"> služby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verejnej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správy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a vzťahuje sa na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údaje, procesné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postupy,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personálne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zabezpečenie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a</w:t>
      </w:r>
      <w:r>
        <w:rPr>
          <w:rFonts w:eastAsia="Calibri"/>
          <w:bCs/>
          <w:color w:val="000000"/>
          <w:sz w:val="24"/>
          <w:szCs w:val="24"/>
          <w:lang w:eastAsia="en-US"/>
        </w:rPr>
        <w:t> 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organizačné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zabezpečenie,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ak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tvoria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funkčný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celok alebo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ak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samy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o</w:t>
      </w:r>
      <w:r>
        <w:rPr>
          <w:rFonts w:eastAsia="Calibri"/>
          <w:bCs/>
          <w:color w:val="000000"/>
          <w:sz w:val="24"/>
          <w:szCs w:val="24"/>
          <w:lang w:eastAsia="en-US"/>
        </w:rPr>
        <w:t> 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sebe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slúžia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na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spracúvanie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údajov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alebo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informácií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v</w:t>
      </w:r>
      <w:r>
        <w:rPr>
          <w:rFonts w:eastAsia="Calibri"/>
          <w:bCs/>
          <w:color w:val="000000"/>
          <w:sz w:val="24"/>
          <w:szCs w:val="24"/>
          <w:lang w:eastAsia="en-US"/>
        </w:rPr>
        <w:t> 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elektronickej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49359D">
        <w:rPr>
          <w:rFonts w:eastAsia="Calibri"/>
          <w:bCs/>
          <w:color w:val="000000"/>
          <w:sz w:val="24"/>
          <w:szCs w:val="24"/>
          <w:lang w:eastAsia="en-US"/>
        </w:rPr>
        <w:t>podobe.</w:t>
      </w:r>
      <w:r>
        <w:rPr>
          <w:rFonts w:eastAsia="Calibri"/>
          <w:bCs/>
          <w:color w:val="000000"/>
          <w:sz w:val="24"/>
          <w:szCs w:val="24"/>
          <w:lang w:eastAsia="en-US"/>
        </w:rPr>
        <w:t xml:space="preserve"> Preto sa analýza vplyvov zameriava na koncové služby, ktoré poskytuje inštitúcia verejnej správy občanovi alebo podnikateľovi, ako súčasti </w:t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>referenčnej architektúry integrovaného informačného systému verejnej správy.</w:t>
      </w:r>
      <w:r w:rsidRPr="005C4B9C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:rsidR="00867E33" w:rsidRPr="005C4B9C" w:rsidRDefault="00867E33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>
        <w:rPr>
          <w:rFonts w:eastAsia="Calibri"/>
          <w:bCs/>
          <w:color w:val="000000"/>
          <w:sz w:val="24"/>
          <w:szCs w:val="24"/>
          <w:lang w:eastAsia="en-US"/>
        </w:rPr>
        <w:t>V druhej časti sa sústreďuje na podmienky, za ktorých je občanom a podnikateľom elektronická služba dostupná a na spôsob, akým orgány verejnej moci využívajú výmenu údajov, ktorými disponujú, na zníženie byrokratickej záťaže pre občanov a podnikateľov. V tejto časti sa sleduje najmä využívanie už existujúcich nástrojov</w:t>
      </w:r>
      <w:r w:rsidR="005B737D">
        <w:rPr>
          <w:rFonts w:eastAsia="Calibri"/>
          <w:bCs/>
          <w:color w:val="000000"/>
          <w:sz w:val="24"/>
          <w:szCs w:val="24"/>
          <w:lang w:eastAsia="en-US"/>
        </w:rPr>
        <w:t>.</w:t>
      </w:r>
    </w:p>
    <w:p w:rsidR="00F4692C" w:rsidRDefault="00F4692C" w:rsidP="00F4692C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3F6496" w:rsidRPr="00F14E8D" w:rsidRDefault="003F6496" w:rsidP="00F14E8D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F14E8D">
        <w:rPr>
          <w:rFonts w:eastAsia="Calibri"/>
          <w:b/>
          <w:color w:val="000000"/>
          <w:sz w:val="26"/>
          <w:szCs w:val="26"/>
          <w:lang w:eastAsia="en-US"/>
        </w:rPr>
        <w:t>Budovanie základných pilierov informatizácie</w:t>
      </w:r>
    </w:p>
    <w:p w:rsidR="003F6496" w:rsidRPr="005C4B9C" w:rsidRDefault="003F6496" w:rsidP="00F4692C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F4692C" w:rsidRPr="007668F5" w:rsidRDefault="00F4692C" w:rsidP="00F4692C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 xml:space="preserve">Pilier </w:t>
      </w:r>
      <w:r w:rsidRPr="005C4B9C"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>I</w:t>
      </w:r>
      <w:r w:rsidRPr="002E0EDC"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>.: Biznis vrstva</w:t>
      </w:r>
      <w:r w:rsidR="0091072C"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</w:p>
    <w:p w:rsidR="00F4692C" w:rsidRPr="00350E24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V rámci tohto piliera sa hodnotí, či predmetný návrh má vplyv na inovácie a zlepšenie existujúcich služieb, </w:t>
      </w:r>
      <w:proofErr w:type="spellStart"/>
      <w:r w:rsidRPr="00350E24">
        <w:rPr>
          <w:rFonts w:eastAsia="Calibri"/>
          <w:bCs/>
          <w:color w:val="000000"/>
          <w:sz w:val="24"/>
          <w:szCs w:val="24"/>
          <w:lang w:eastAsia="en-US"/>
        </w:rPr>
        <w:t>t.j</w:t>
      </w:r>
      <w:proofErr w:type="spellEnd"/>
      <w:r w:rsidRPr="00350E24">
        <w:rPr>
          <w:rFonts w:eastAsia="Calibri"/>
          <w:bCs/>
          <w:color w:val="000000"/>
          <w:sz w:val="24"/>
          <w:szCs w:val="24"/>
          <w:lang w:eastAsia="en-US"/>
        </w:rPr>
        <w:t>.  zmeny koncových služieb, ako aj zavádzanie nových elektronických služieb verejnej správy.</w:t>
      </w:r>
      <w:r w:rsidR="002F7173">
        <w:rPr>
          <w:rFonts w:eastAsia="Calibri"/>
          <w:bCs/>
          <w:color w:val="000000"/>
          <w:sz w:val="24"/>
          <w:szCs w:val="24"/>
          <w:lang w:eastAsia="en-US"/>
        </w:rPr>
        <w:t xml:space="preserve"> Hodnotí sa taktiež či predmetný návrh </w:t>
      </w:r>
      <w:r w:rsidR="00E80A70">
        <w:rPr>
          <w:rFonts w:eastAsia="Calibri"/>
          <w:bCs/>
          <w:color w:val="000000"/>
          <w:sz w:val="24"/>
          <w:szCs w:val="24"/>
          <w:lang w:val="en-US" w:eastAsia="en-US"/>
        </w:rPr>
        <w:t>[</w:t>
      </w:r>
      <w:r w:rsidR="00E80A70">
        <w:rPr>
          <w:rFonts w:eastAsia="Calibri"/>
          <w:bCs/>
          <w:color w:val="000000"/>
          <w:sz w:val="24"/>
          <w:szCs w:val="24"/>
          <w:lang w:eastAsia="en-US"/>
        </w:rPr>
        <w:t xml:space="preserve">alt1:vyvolá využívanie] [alt2: </w:t>
      </w:r>
      <w:r w:rsidR="002F7173">
        <w:rPr>
          <w:rFonts w:eastAsia="Calibri"/>
          <w:bCs/>
          <w:color w:val="000000"/>
          <w:sz w:val="24"/>
          <w:szCs w:val="24"/>
          <w:lang w:eastAsia="en-US"/>
        </w:rPr>
        <w:t>má vplyv na zvýšené využívanie</w:t>
      </w:r>
      <w:r w:rsidR="00E80A70">
        <w:rPr>
          <w:rFonts w:eastAsia="Calibri"/>
          <w:bCs/>
          <w:color w:val="000000"/>
          <w:sz w:val="24"/>
          <w:szCs w:val="24"/>
          <w:lang w:eastAsia="en-US"/>
        </w:rPr>
        <w:t>]</w:t>
      </w:r>
      <w:r w:rsidR="002F7173">
        <w:rPr>
          <w:rFonts w:eastAsia="Calibri"/>
          <w:bCs/>
          <w:color w:val="000000"/>
          <w:sz w:val="24"/>
          <w:szCs w:val="24"/>
          <w:lang w:eastAsia="en-US"/>
        </w:rPr>
        <w:t xml:space="preserve"> už existujúcich služieb.</w:t>
      </w:r>
    </w:p>
    <w:p w:rsidR="00F4692C" w:rsidRPr="007668F5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i/>
          <w:color w:val="000000"/>
          <w:sz w:val="24"/>
          <w:szCs w:val="24"/>
          <w:lang w:eastAsia="en-US"/>
        </w:rPr>
      </w:pP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Koncovou službou verejnej správy je  komunikácia občana alebo podnikateľa s inštitúciou verejnej správy pri vybavovaní podaní, oznámení, prístupe k informáciám a ich poskytovaní, alebo účasti verejnosti na správe verejných vecí. </w:t>
      </w:r>
      <w:r w:rsidR="007668F5" w:rsidRPr="00563956">
        <w:rPr>
          <w:rFonts w:eastAsia="Calibri"/>
          <w:bCs/>
          <w:color w:val="000000"/>
          <w:sz w:val="24"/>
          <w:szCs w:val="24"/>
          <w:lang w:eastAsia="en-US"/>
        </w:rPr>
        <w:t>Pre zavádzanie novej koncovej služby verejnej správy je charakteristické jej poskytovanie všetkým dotknutým subjektom, pričom sa požaduje včasnosť, transparentnosť a efektívnosť poskytovania tejto služby a zohľadnenie komplexnosti spoločensk</w:t>
      </w:r>
      <w:r w:rsidR="006B1AB7" w:rsidRPr="00563956">
        <w:rPr>
          <w:rFonts w:eastAsia="Calibri"/>
          <w:bCs/>
          <w:color w:val="000000"/>
          <w:sz w:val="24"/>
          <w:szCs w:val="24"/>
          <w:lang w:eastAsia="en-US"/>
        </w:rPr>
        <w:t>ých interakcií.</w:t>
      </w:r>
    </w:p>
    <w:p w:rsidR="00F4692C" w:rsidRPr="00350E24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:rsidR="00F4692C" w:rsidRPr="00350E24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50E24">
        <w:rPr>
          <w:rFonts w:eastAsia="Calibri"/>
          <w:bCs/>
          <w:color w:val="000000"/>
          <w:sz w:val="24"/>
          <w:szCs w:val="24"/>
          <w:lang w:eastAsia="en-US"/>
        </w:rPr>
        <w:t>Podľa § 12 ods. 1 písm. b) zákona č. 95/2019 Z. z. o informačných technológiách vo verejnej správe a o zmene a doplnení niektorých zákonov v platnom znení</w:t>
      </w:r>
      <w:r w:rsidR="004A32F0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sú správcovia informačných technológií verejnej správy povinní bezodkladne sprístupňovať informácie o poskytovaných elektronických službách verejnej správy prostredníctvom centrálneho </w:t>
      </w:r>
      <w:proofErr w:type="spellStart"/>
      <w:r w:rsidRPr="00350E24">
        <w:rPr>
          <w:rFonts w:eastAsia="Calibri"/>
          <w:bCs/>
          <w:color w:val="000000"/>
          <w:sz w:val="24"/>
          <w:szCs w:val="24"/>
          <w:lang w:eastAsia="en-US"/>
        </w:rPr>
        <w:t>metainformačného</w:t>
      </w:r>
      <w:proofErr w:type="spellEnd"/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 systému verejnej správy (ďalej len „MetaIS“). Do tohto systému sa zapisujú nielen reálne poskytované ale aj plánované služby. Potrebné informácie je možné nájsť na webovej stránke </w:t>
      </w:r>
      <w:r w:rsidR="00931ECB">
        <w:rPr>
          <w:rFonts w:eastAsia="Calibri"/>
          <w:bCs/>
          <w:color w:val="000000"/>
          <w:sz w:val="24"/>
          <w:szCs w:val="24"/>
          <w:lang w:eastAsia="en-US"/>
        </w:rPr>
        <w:lastRenderedPageBreak/>
        <w:t>Ministerstva investícií regionálneho rozvoja a informatizácie Slovenskej republiky (ďalej len „MIRRI SR“)</w:t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>.</w:t>
      </w:r>
      <w:bookmarkStart w:id="1" w:name="_Ref12973993"/>
      <w:r w:rsidRPr="00350E24">
        <w:rPr>
          <w:rFonts w:eastAsia="Calibri"/>
          <w:bCs/>
          <w:vertAlign w:val="superscript"/>
        </w:rPr>
        <w:footnoteReference w:id="1"/>
      </w:r>
      <w:bookmarkEnd w:id="1"/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:rsidR="00F4692C" w:rsidRPr="00350E24" w:rsidRDefault="00F4692C" w:rsidP="00F4692C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</w:p>
    <w:p w:rsidR="00F4692C" w:rsidRPr="00350E24" w:rsidRDefault="00F4692C" w:rsidP="00F4692C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Zoznam hlavných kontaktných osôb určených na prístup do MetaIS </w:t>
      </w:r>
      <w:r w:rsidR="00056FD5" w:rsidRPr="00F14E8D">
        <w:rPr>
          <w:rFonts w:eastAsia="Calibri"/>
          <w:bCs/>
          <w:color w:val="000000"/>
          <w:sz w:val="24"/>
          <w:szCs w:val="24"/>
          <w:lang w:eastAsia="en-US"/>
        </w:rPr>
        <w:t xml:space="preserve">za jednotlivé inštitúcie </w:t>
      </w:r>
      <w:r w:rsidRPr="004A32F0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verejnej správy sa nachádza na webovej stránke </w:t>
      </w:r>
      <w:r w:rsidR="00931ECB">
        <w:rPr>
          <w:rFonts w:eastAsia="Calibri"/>
          <w:bCs/>
          <w:color w:val="000000"/>
          <w:sz w:val="24"/>
          <w:szCs w:val="24"/>
          <w:lang w:eastAsia="en-US"/>
        </w:rPr>
        <w:t>MIRRI SR</w:t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>.</w:t>
      </w:r>
      <w:r w:rsidRPr="00350E24">
        <w:rPr>
          <w:rFonts w:eastAsia="Calibri"/>
          <w:bCs/>
          <w:vertAlign w:val="superscript"/>
        </w:rPr>
        <w:footnoteReference w:id="2"/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</w:p>
    <w:p w:rsidR="00F4692C" w:rsidRPr="005C4B9C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Úrovne elektronizácie </w:t>
      </w:r>
      <w:r w:rsidRPr="00F14E8D">
        <w:rPr>
          <w:rFonts w:eastAsia="Calibri"/>
          <w:bCs/>
          <w:color w:val="000000"/>
          <w:sz w:val="24"/>
          <w:szCs w:val="24"/>
          <w:lang w:eastAsia="en-US"/>
        </w:rPr>
        <w:t>elektronických</w:t>
      </w:r>
      <w:r w:rsidR="00056FD5">
        <w:rPr>
          <w:rFonts w:eastAsia="Calibri"/>
          <w:bCs/>
          <w:color w:val="000000"/>
          <w:sz w:val="24"/>
          <w:szCs w:val="24"/>
          <w:lang w:eastAsia="en-US"/>
        </w:rPr>
        <w:t xml:space="preserve"> </w:t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>služieb verejnej správy môžu nadobúdať hodnoty od 0 do 5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Style w:val="Odkaznapoznmkupodiarou"/>
          <w:rFonts w:eastAsia="Calibri"/>
          <w:color w:val="000000"/>
          <w:sz w:val="24"/>
          <w:szCs w:val="24"/>
          <w:lang w:eastAsia="en-US"/>
        </w:rPr>
        <w:footnoteReference w:id="3"/>
      </w:r>
      <w:r w:rsidRPr="005C4B9C">
        <w:rPr>
          <w:rFonts w:eastAsia="Calibri"/>
          <w:color w:val="000000"/>
          <w:sz w:val="24"/>
          <w:szCs w:val="24"/>
          <w:lang w:eastAsia="en-US"/>
        </w:rPr>
        <w:t>:</w:t>
      </w:r>
    </w:p>
    <w:p w:rsidR="00F4692C" w:rsidRPr="005D5FCE" w:rsidRDefault="00F4692C" w:rsidP="00F4692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E5786A">
        <w:rPr>
          <w:rFonts w:eastAsia="Calibri"/>
          <w:sz w:val="24"/>
          <w:szCs w:val="24"/>
          <w:lang w:eastAsia="en-US"/>
        </w:rPr>
        <w:t>úroveň 0, pri</w:t>
      </w:r>
      <w:r w:rsidRPr="005D5FCE">
        <w:rPr>
          <w:rFonts w:eastAsia="Calibri"/>
          <w:sz w:val="24"/>
          <w:szCs w:val="24"/>
          <w:lang w:eastAsia="en-US"/>
        </w:rPr>
        <w:t xml:space="preserve"> ktorej informácia o službe a ani služba nie je on-line elektronicky dostupná,</w:t>
      </w:r>
    </w:p>
    <w:p w:rsidR="00F4692C" w:rsidRPr="005D5FCE" w:rsidRDefault="00F4692C" w:rsidP="00F4692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5D5FCE">
        <w:rPr>
          <w:rFonts w:eastAsia="Calibri"/>
          <w:sz w:val="24"/>
          <w:szCs w:val="24"/>
          <w:lang w:eastAsia="en-US"/>
        </w:rPr>
        <w:t xml:space="preserve">úroveň 1, pri ktorej </w:t>
      </w:r>
      <w:r w:rsidRPr="00F14E8D">
        <w:rPr>
          <w:rFonts w:eastAsia="Calibri"/>
          <w:sz w:val="24"/>
          <w:szCs w:val="24"/>
          <w:lang w:eastAsia="en-US"/>
        </w:rPr>
        <w:t>je</w:t>
      </w:r>
      <w:r w:rsidR="00864EEF" w:rsidRPr="00F14E8D">
        <w:rPr>
          <w:rFonts w:eastAsia="Calibri"/>
          <w:sz w:val="24"/>
          <w:szCs w:val="24"/>
          <w:lang w:eastAsia="en-US"/>
        </w:rPr>
        <w:t xml:space="preserve"> </w:t>
      </w:r>
      <w:r w:rsidRPr="00F14E8D">
        <w:rPr>
          <w:rFonts w:eastAsia="Calibri"/>
          <w:sz w:val="24"/>
          <w:szCs w:val="24"/>
          <w:lang w:eastAsia="en-US"/>
        </w:rPr>
        <w:t>informácia,</w:t>
      </w:r>
      <w:r w:rsidRPr="005D5FCE">
        <w:rPr>
          <w:rFonts w:eastAsia="Calibri"/>
          <w:sz w:val="24"/>
          <w:szCs w:val="24"/>
          <w:lang w:eastAsia="en-US"/>
        </w:rPr>
        <w:t xml:space="preserve"> potrebná na začatie alebo vykonanie služby, dostupná v elektronickej </w:t>
      </w:r>
      <w:r w:rsidR="00DD37A8">
        <w:rPr>
          <w:rFonts w:eastAsia="Calibri"/>
          <w:sz w:val="24"/>
          <w:szCs w:val="24"/>
          <w:lang w:eastAsia="en-US"/>
        </w:rPr>
        <w:t>podob</w:t>
      </w:r>
      <w:r w:rsidRPr="005D5FCE">
        <w:rPr>
          <w:rFonts w:eastAsia="Calibri"/>
          <w:sz w:val="24"/>
          <w:szCs w:val="24"/>
          <w:lang w:eastAsia="en-US"/>
        </w:rPr>
        <w:t>e, najmä informácia o mieste, čase, spôsobe a podmienkach vybavenia služby, pričom samotná služba nie je elektronicky poskytnutá, ani nie je poskytnutý</w:t>
      </w:r>
      <w:r w:rsidR="004A32F0">
        <w:rPr>
          <w:rFonts w:eastAsia="Calibri"/>
          <w:sz w:val="24"/>
          <w:szCs w:val="24"/>
          <w:lang w:eastAsia="en-US"/>
        </w:rPr>
        <w:t xml:space="preserve"> </w:t>
      </w:r>
      <w:r w:rsidRPr="005D5FCE">
        <w:rPr>
          <w:rFonts w:eastAsia="Calibri"/>
          <w:sz w:val="24"/>
          <w:szCs w:val="24"/>
          <w:lang w:eastAsia="en-US"/>
        </w:rPr>
        <w:t xml:space="preserve">príslušný formulár v elektronickej </w:t>
      </w:r>
      <w:r w:rsidR="00DD37A8">
        <w:rPr>
          <w:rFonts w:eastAsia="Calibri"/>
          <w:sz w:val="24"/>
          <w:szCs w:val="24"/>
          <w:lang w:eastAsia="en-US"/>
        </w:rPr>
        <w:t>podob</w:t>
      </w:r>
      <w:r w:rsidRPr="005D5FCE">
        <w:rPr>
          <w:rFonts w:eastAsia="Calibri"/>
          <w:sz w:val="24"/>
          <w:szCs w:val="24"/>
          <w:lang w:eastAsia="en-US"/>
        </w:rPr>
        <w:t>e,</w:t>
      </w:r>
    </w:p>
    <w:p w:rsidR="00F4692C" w:rsidRPr="005D5FCE" w:rsidRDefault="00F4692C" w:rsidP="00F4692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5D5FCE">
        <w:rPr>
          <w:rFonts w:eastAsia="Calibri"/>
          <w:sz w:val="24"/>
          <w:szCs w:val="24"/>
          <w:lang w:eastAsia="en-US"/>
        </w:rPr>
        <w:t xml:space="preserve">úroveň 2,  pri  ktorej  je možné stiahnuť príslušný formulár v elektronickej </w:t>
      </w:r>
      <w:r w:rsidR="00DD37A8">
        <w:rPr>
          <w:rFonts w:eastAsia="Calibri"/>
          <w:sz w:val="24"/>
          <w:szCs w:val="24"/>
          <w:lang w:eastAsia="en-US"/>
        </w:rPr>
        <w:t>podob</w:t>
      </w:r>
      <w:r w:rsidRPr="005D5FCE">
        <w:rPr>
          <w:rFonts w:eastAsia="Calibri"/>
          <w:sz w:val="24"/>
          <w:szCs w:val="24"/>
          <w:lang w:eastAsia="en-US"/>
        </w:rPr>
        <w:t>e, ale podanie sa nevykonáva elektronickými prostriedkami,</w:t>
      </w:r>
    </w:p>
    <w:p w:rsidR="00F4692C" w:rsidRDefault="00F4692C" w:rsidP="00F4692C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ab/>
      </w:r>
      <w:r w:rsidRPr="00813CF5">
        <w:rPr>
          <w:rFonts w:eastAsia="Calibri"/>
          <w:sz w:val="24"/>
          <w:szCs w:val="24"/>
          <w:lang w:eastAsia="en-US"/>
        </w:rPr>
        <w:t>úroveň 3,  pri ktorej prebieha vybavovanie služby elektronicky, avšak pri preberaní výsledku služby sa vyžaduje osobný alebo listinný kontakt,</w:t>
      </w:r>
    </w:p>
    <w:p w:rsidR="00F4692C" w:rsidRDefault="00F4692C" w:rsidP="00F4692C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ab/>
      </w:r>
      <w:r w:rsidRPr="00813CF5">
        <w:rPr>
          <w:rFonts w:eastAsia="Calibri"/>
          <w:sz w:val="24"/>
          <w:szCs w:val="24"/>
          <w:lang w:eastAsia="en-US"/>
        </w:rPr>
        <w:t xml:space="preserve">úroveň 4, ktorá umožňuje úplné vybavenie služby elektronickými prostriedkami, najmä vybavenie on-line, a to vrátane rozhodnutia, zaplatenia a doručenia, ak sa vyžaduje; pri tejto úrovni sa vylučuje akýkoľvek osobný alebo listinný kontakt, </w:t>
      </w:r>
    </w:p>
    <w:p w:rsidR="00F4692C" w:rsidRPr="00813CF5" w:rsidRDefault="00F4692C" w:rsidP="00F4692C">
      <w:pPr>
        <w:autoSpaceDE w:val="0"/>
        <w:autoSpaceDN w:val="0"/>
        <w:adjustRightInd w:val="0"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ab/>
      </w:r>
      <w:r w:rsidRPr="00813CF5">
        <w:rPr>
          <w:rFonts w:eastAsia="Calibri"/>
          <w:sz w:val="24"/>
          <w:szCs w:val="24"/>
          <w:lang w:eastAsia="en-US"/>
        </w:rPr>
        <w:t xml:space="preserve">úroveň 5, ktorá obsahuje funkčnosť úrovne 3 alebo úrovne 4, a pri ktorej sa naviac využívajú </w:t>
      </w:r>
      <w:proofErr w:type="spellStart"/>
      <w:r w:rsidRPr="00813CF5">
        <w:rPr>
          <w:rFonts w:eastAsia="Calibri"/>
          <w:sz w:val="24"/>
          <w:szCs w:val="24"/>
          <w:lang w:eastAsia="en-US"/>
        </w:rPr>
        <w:t>personalizované</w:t>
      </w:r>
      <w:proofErr w:type="spellEnd"/>
      <w:r w:rsidRPr="00813CF5">
        <w:rPr>
          <w:rFonts w:eastAsia="Calibri"/>
          <w:sz w:val="24"/>
          <w:szCs w:val="24"/>
          <w:lang w:eastAsia="en-US"/>
        </w:rPr>
        <w:t xml:space="preserve"> nastavenia používateľa a možnosť proaktívneho automatizovaného vykonávania častí služby.</w:t>
      </w:r>
    </w:p>
    <w:p w:rsidR="00F4692C" w:rsidRPr="00350E24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bCs/>
          <w:color w:val="000000"/>
          <w:sz w:val="24"/>
          <w:szCs w:val="24"/>
          <w:lang w:eastAsia="en-US"/>
        </w:rPr>
      </w:pPr>
      <w:r w:rsidRPr="00350E24">
        <w:rPr>
          <w:rFonts w:eastAsia="Calibri"/>
          <w:bCs/>
          <w:color w:val="000000"/>
          <w:sz w:val="24"/>
          <w:szCs w:val="24"/>
          <w:lang w:eastAsia="en-US"/>
        </w:rPr>
        <w:t>Ak návrh predpokladá zmenu existujúcich koncových služieb verejnej správy</w:t>
      </w:r>
      <w:r w:rsidR="00E80A70">
        <w:rPr>
          <w:rFonts w:eastAsia="Calibri"/>
          <w:bCs/>
          <w:color w:val="000000"/>
          <w:sz w:val="24"/>
          <w:szCs w:val="24"/>
          <w:lang w:eastAsia="en-US"/>
        </w:rPr>
        <w:t xml:space="preserve">, </w:t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vytvorenie nových koncových služieb </w:t>
      </w:r>
      <w:r w:rsidR="00E80A70">
        <w:rPr>
          <w:rFonts w:eastAsia="Calibri"/>
          <w:bCs/>
          <w:color w:val="000000"/>
          <w:sz w:val="24"/>
          <w:szCs w:val="24"/>
          <w:lang w:eastAsia="en-US"/>
        </w:rPr>
        <w:t xml:space="preserve">alebo má vplyv na využívanie existujúcej služby </w:t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>v zmysle uvedených definícií, predkladateľ to uvedie v analýze použitím písmen „A“</w:t>
      </w:r>
      <w:r w:rsidR="00E80A70">
        <w:rPr>
          <w:rFonts w:eastAsia="Calibri"/>
          <w:bCs/>
          <w:color w:val="000000"/>
          <w:sz w:val="24"/>
          <w:szCs w:val="24"/>
          <w:lang w:eastAsia="en-US"/>
        </w:rPr>
        <w:t>,</w:t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 „B“</w:t>
      </w:r>
      <w:r w:rsidR="00E80A70">
        <w:rPr>
          <w:rFonts w:eastAsia="Calibri"/>
          <w:bCs/>
          <w:color w:val="000000"/>
          <w:sz w:val="24"/>
          <w:szCs w:val="24"/>
          <w:lang w:eastAsia="en-US"/>
        </w:rPr>
        <w:t xml:space="preserve"> alebo „C“</w:t>
      </w:r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 vrátane názvu, kódu a úrovne elektronizácie elektronickej služby verejnej správy  podľa  koncových služieb z centrálneho </w:t>
      </w:r>
      <w:proofErr w:type="spellStart"/>
      <w:r w:rsidRPr="00350E24">
        <w:rPr>
          <w:rFonts w:eastAsia="Calibri"/>
          <w:bCs/>
          <w:color w:val="000000"/>
          <w:sz w:val="24"/>
          <w:szCs w:val="24"/>
          <w:lang w:eastAsia="en-US"/>
        </w:rPr>
        <w:t>metainformačného</w:t>
      </w:r>
      <w:proofErr w:type="spellEnd"/>
      <w:r w:rsidRPr="00350E24">
        <w:rPr>
          <w:rFonts w:eastAsia="Calibri"/>
          <w:bCs/>
          <w:color w:val="000000"/>
          <w:sz w:val="24"/>
          <w:szCs w:val="24"/>
          <w:lang w:eastAsia="en-US"/>
        </w:rPr>
        <w:t xml:space="preserve"> systému verejnej správy.</w:t>
      </w:r>
    </w:p>
    <w:p w:rsidR="00F4692C" w:rsidRDefault="00F4692C" w:rsidP="00F4692C">
      <w:pPr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F4692C" w:rsidRPr="00F14E8D" w:rsidRDefault="00F4692C" w:rsidP="00F4692C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24"/>
          <w:szCs w:val="24"/>
          <w:lang w:eastAsia="en-US"/>
        </w:rPr>
      </w:pPr>
      <w:r w:rsidRPr="00F14E8D">
        <w:rPr>
          <w:rFonts w:eastAsia="Calibri"/>
          <w:bCs/>
          <w:i/>
          <w:color w:val="000000"/>
          <w:sz w:val="24"/>
          <w:szCs w:val="24"/>
          <w:lang w:eastAsia="en-US"/>
        </w:rPr>
        <w:t xml:space="preserve">Príklad č. 1: </w:t>
      </w:r>
    </w:p>
    <w:p w:rsidR="00F4692C" w:rsidRPr="005C4B9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Návrh zákona o verejných zbierkach a o zmene a doplnení niektorých zákonov zavádza dve </w:t>
      </w:r>
      <w:r w:rsidRPr="0004120D">
        <w:rPr>
          <w:rFonts w:eastAsia="Calibri"/>
          <w:b/>
          <w:color w:val="000000"/>
          <w:sz w:val="24"/>
          <w:szCs w:val="24"/>
          <w:lang w:eastAsia="en-US"/>
        </w:rPr>
        <w:t>nové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4120D">
        <w:rPr>
          <w:rFonts w:eastAsia="Calibri"/>
          <w:b/>
          <w:color w:val="000000"/>
          <w:sz w:val="24"/>
          <w:szCs w:val="24"/>
          <w:lang w:eastAsia="en-US"/>
        </w:rPr>
        <w:t>koncové služby</w:t>
      </w:r>
      <w:r w:rsidRPr="005C4B9C">
        <w:rPr>
          <w:rFonts w:eastAsia="Calibri"/>
          <w:color w:val="000000"/>
          <w:sz w:val="24"/>
          <w:szCs w:val="24"/>
          <w:lang w:eastAsia="en-US"/>
        </w:rPr>
        <w:t>, a to</w:t>
      </w:r>
    </w:p>
    <w:p w:rsidR="00F4692C" w:rsidRPr="005C4B9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- „Povoľovanie verejných zbierok“ </w:t>
      </w:r>
    </w:p>
    <w:p w:rsidR="00F4692C" w:rsidRPr="005C4B9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- „Zverejňovanie údajov zapísaných v registri zbierok“.</w:t>
      </w:r>
    </w:p>
    <w:p w:rsidR="00F4692C" w:rsidRPr="005C4B9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Nové </w:t>
      </w:r>
      <w:r>
        <w:rPr>
          <w:rFonts w:eastAsia="Calibri"/>
          <w:color w:val="000000"/>
          <w:sz w:val="24"/>
          <w:szCs w:val="24"/>
          <w:lang w:eastAsia="en-US"/>
        </w:rPr>
        <w:t xml:space="preserve">koncové 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služby v zmysle platných </w:t>
      </w:r>
      <w:r>
        <w:rPr>
          <w:rFonts w:eastAsia="Calibri"/>
          <w:color w:val="000000"/>
          <w:sz w:val="24"/>
          <w:szCs w:val="24"/>
          <w:lang w:eastAsia="en-US"/>
        </w:rPr>
        <w:t>predpisov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musia byť zaevidované v MetaIS.</w:t>
      </w:r>
    </w:p>
    <w:p w:rsidR="008C2601" w:rsidRDefault="008C2601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4692C" w:rsidRPr="005C4B9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Analýza vplyvov sa v </w:t>
      </w:r>
      <w:r w:rsidRPr="005C4B9C">
        <w:rPr>
          <w:rFonts w:eastAsia="Calibri"/>
          <w:sz w:val="24"/>
          <w:szCs w:val="24"/>
          <w:lang w:eastAsia="en-US"/>
        </w:rPr>
        <w:t xml:space="preserve">bode 6.1. vyplní 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nasledovne: </w:t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342"/>
        <w:gridCol w:w="1701"/>
        <w:gridCol w:w="1276"/>
        <w:gridCol w:w="1777"/>
        <w:gridCol w:w="1483"/>
      </w:tblGrid>
      <w:tr w:rsidR="00F4692C" w:rsidRPr="005C4B9C" w:rsidTr="00876D3C">
        <w:trPr>
          <w:trHeight w:val="652"/>
        </w:trPr>
        <w:tc>
          <w:tcPr>
            <w:tcW w:w="3342" w:type="dxa"/>
            <w:shd w:val="clear" w:color="auto" w:fill="C0C0C0"/>
          </w:tcPr>
          <w:p w:rsidR="00F4692C" w:rsidRPr="0067353A" w:rsidRDefault="00F4692C" w:rsidP="00876D3C">
            <w:pPr>
              <w:jc w:val="center"/>
              <w:rPr>
                <w:b/>
              </w:rPr>
            </w:pPr>
          </w:p>
          <w:p w:rsidR="00F4692C" w:rsidRPr="0067353A" w:rsidRDefault="00F4692C" w:rsidP="00876D3C">
            <w:pPr>
              <w:jc w:val="center"/>
              <w:rPr>
                <w:b/>
              </w:rPr>
            </w:pPr>
            <w:r w:rsidRPr="0067353A">
              <w:rPr>
                <w:b/>
              </w:rPr>
              <w:t>Biznis vrstva</w:t>
            </w:r>
          </w:p>
        </w:tc>
        <w:tc>
          <w:tcPr>
            <w:tcW w:w="1701" w:type="dxa"/>
            <w:shd w:val="clear" w:color="auto" w:fill="C0C0C0"/>
          </w:tcPr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A – nová služba</w:t>
            </w:r>
          </w:p>
          <w:p w:rsidR="00F4692C" w:rsidRDefault="00F4692C" w:rsidP="00876D3C">
            <w:pPr>
              <w:jc w:val="center"/>
              <w:rPr>
                <w:b/>
              </w:rPr>
            </w:pPr>
            <w:r w:rsidRPr="0067353A">
              <w:rPr>
                <w:b/>
              </w:rPr>
              <w:t>B – zmena služby</w:t>
            </w:r>
          </w:p>
          <w:p w:rsidR="00C80982" w:rsidRPr="0067353A" w:rsidRDefault="00C80982" w:rsidP="00876D3C">
            <w:pPr>
              <w:jc w:val="center"/>
              <w:rPr>
                <w:b/>
              </w:rPr>
            </w:pPr>
            <w:r>
              <w:rPr>
                <w:b/>
              </w:rPr>
              <w:t>C-zvýšené používanie služby</w:t>
            </w:r>
          </w:p>
        </w:tc>
        <w:tc>
          <w:tcPr>
            <w:tcW w:w="1276" w:type="dxa"/>
            <w:shd w:val="clear" w:color="auto" w:fill="C0C0C0"/>
          </w:tcPr>
          <w:p w:rsidR="00F4692C" w:rsidRPr="0067353A" w:rsidRDefault="00F4692C" w:rsidP="00517395">
            <w:pPr>
              <w:rPr>
                <w:b/>
              </w:rPr>
            </w:pPr>
            <w:r w:rsidRPr="0067353A">
              <w:rPr>
                <w:b/>
              </w:rPr>
              <w:t>Kód</w:t>
            </w:r>
            <w:r w:rsidR="00517395">
              <w:rPr>
                <w:b/>
              </w:rPr>
              <w:t xml:space="preserve"> koncovej</w:t>
            </w:r>
            <w:r w:rsidRPr="0067353A">
              <w:rPr>
                <w:b/>
              </w:rPr>
              <w:t xml:space="preserve"> služby</w:t>
            </w:r>
          </w:p>
        </w:tc>
        <w:tc>
          <w:tcPr>
            <w:tcW w:w="1777" w:type="dxa"/>
            <w:shd w:val="clear" w:color="auto" w:fill="C0C0C0"/>
          </w:tcPr>
          <w:p w:rsidR="00F4692C" w:rsidRPr="0067353A" w:rsidRDefault="00F4692C" w:rsidP="00517395">
            <w:pPr>
              <w:rPr>
                <w:b/>
              </w:rPr>
            </w:pPr>
            <w:r w:rsidRPr="0067353A">
              <w:rPr>
                <w:b/>
              </w:rPr>
              <w:t xml:space="preserve">Názov </w:t>
            </w:r>
            <w:r w:rsidR="00517395">
              <w:rPr>
                <w:b/>
              </w:rPr>
              <w:t>koncovej</w:t>
            </w:r>
            <w:r w:rsidR="00517395" w:rsidRPr="0067353A">
              <w:rPr>
                <w:b/>
              </w:rPr>
              <w:t xml:space="preserve"> </w:t>
            </w:r>
            <w:r w:rsidRPr="0067353A">
              <w:rPr>
                <w:b/>
              </w:rPr>
              <w:t>služby</w:t>
            </w:r>
          </w:p>
        </w:tc>
        <w:tc>
          <w:tcPr>
            <w:tcW w:w="1483" w:type="dxa"/>
            <w:shd w:val="clear" w:color="auto" w:fill="C0C0C0"/>
          </w:tcPr>
          <w:p w:rsidR="00F4692C" w:rsidRPr="0067353A" w:rsidRDefault="00F4692C" w:rsidP="00517395">
            <w:pPr>
              <w:rPr>
                <w:b/>
              </w:rPr>
            </w:pPr>
            <w:r w:rsidRPr="0067353A">
              <w:rPr>
                <w:b/>
              </w:rPr>
              <w:t>Úroveň elektronizácie</w:t>
            </w:r>
            <w:r w:rsidR="00EC7A1A" w:rsidRPr="00EC7A1A">
              <w:rPr>
                <w:b/>
              </w:rPr>
              <w:t xml:space="preserve"> – pre C odhad počtu podaní</w:t>
            </w:r>
            <w:r w:rsidRPr="00EC7A1A">
              <w:rPr>
                <w:b/>
              </w:rPr>
              <w:t xml:space="preserve"> </w:t>
            </w:r>
          </w:p>
        </w:tc>
      </w:tr>
      <w:tr w:rsidR="00F4692C" w:rsidRPr="005C4B9C" w:rsidTr="00876D3C">
        <w:trPr>
          <w:trHeight w:val="552"/>
        </w:trPr>
        <w:tc>
          <w:tcPr>
            <w:tcW w:w="3342" w:type="dxa"/>
            <w:vMerge w:val="restart"/>
          </w:tcPr>
          <w:p w:rsidR="00F4692C" w:rsidRPr="005C4B9C" w:rsidRDefault="00F4692C" w:rsidP="00876D3C">
            <w:pPr>
              <w:jc w:val="both"/>
              <w:rPr>
                <w:b/>
                <w:sz w:val="22"/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alebo vytvorenie nových služieb</w:t>
            </w:r>
            <w:r>
              <w:rPr>
                <w:szCs w:val="22"/>
              </w:rPr>
              <w:t xml:space="preserve"> pre občana alebo podnikateľa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701" w:type="dxa"/>
          </w:tcPr>
          <w:p w:rsidR="00F4692C" w:rsidRPr="0021424E" w:rsidRDefault="00F4692C" w:rsidP="00876D3C">
            <w:pPr>
              <w:jc w:val="center"/>
            </w:pPr>
          </w:p>
          <w:p w:rsidR="00F4692C" w:rsidRPr="0021424E" w:rsidRDefault="00F4692C" w:rsidP="00876D3C">
            <w:pPr>
              <w:jc w:val="center"/>
            </w:pPr>
            <w:r w:rsidRPr="0021424E">
              <w:t>A</w:t>
            </w:r>
          </w:p>
        </w:tc>
        <w:tc>
          <w:tcPr>
            <w:tcW w:w="1276" w:type="dxa"/>
          </w:tcPr>
          <w:p w:rsidR="00F4692C" w:rsidRPr="0021424E" w:rsidRDefault="00F4692C" w:rsidP="00876D3C">
            <w:r>
              <w:t>ks</w:t>
            </w:r>
            <w:r w:rsidRPr="0021424E">
              <w:t>_1134</w:t>
            </w:r>
          </w:p>
        </w:tc>
        <w:tc>
          <w:tcPr>
            <w:tcW w:w="1777" w:type="dxa"/>
          </w:tcPr>
          <w:p w:rsidR="00F4692C" w:rsidRPr="0021424E" w:rsidRDefault="00F4692C" w:rsidP="00876D3C">
            <w:r>
              <w:rPr>
                <w:rFonts w:eastAsia="Calibri"/>
                <w:color w:val="000000"/>
                <w:lang w:eastAsia="en-US"/>
              </w:rPr>
              <w:t xml:space="preserve">Povoľovanie verejných zbierok </w:t>
            </w:r>
          </w:p>
        </w:tc>
        <w:tc>
          <w:tcPr>
            <w:tcW w:w="1483" w:type="dxa"/>
          </w:tcPr>
          <w:p w:rsidR="00F4692C" w:rsidRPr="0021424E" w:rsidRDefault="00F4692C" w:rsidP="00876D3C">
            <w:pPr>
              <w:jc w:val="center"/>
            </w:pPr>
            <w:r w:rsidRPr="0021424E">
              <w:t>4</w:t>
            </w:r>
          </w:p>
        </w:tc>
      </w:tr>
      <w:tr w:rsidR="00F4692C" w:rsidRPr="005C4B9C" w:rsidTr="00876D3C">
        <w:trPr>
          <w:trHeight w:val="20"/>
        </w:trPr>
        <w:tc>
          <w:tcPr>
            <w:tcW w:w="3342" w:type="dxa"/>
            <w:vMerge/>
          </w:tcPr>
          <w:p w:rsidR="00F4692C" w:rsidRPr="005C4B9C" w:rsidRDefault="00F4692C" w:rsidP="00876D3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4692C" w:rsidRPr="0021424E" w:rsidRDefault="00F4692C" w:rsidP="00876D3C">
            <w:pPr>
              <w:jc w:val="center"/>
            </w:pPr>
          </w:p>
          <w:p w:rsidR="00F4692C" w:rsidRPr="0021424E" w:rsidRDefault="00F4692C" w:rsidP="00876D3C">
            <w:pPr>
              <w:jc w:val="center"/>
            </w:pPr>
            <w:r w:rsidRPr="0021424E">
              <w:t>A</w:t>
            </w:r>
          </w:p>
        </w:tc>
        <w:tc>
          <w:tcPr>
            <w:tcW w:w="1276" w:type="dxa"/>
          </w:tcPr>
          <w:p w:rsidR="00F4692C" w:rsidRPr="0021424E" w:rsidRDefault="00F4692C" w:rsidP="00876D3C">
            <w:pPr>
              <w:jc w:val="center"/>
            </w:pPr>
          </w:p>
          <w:p w:rsidR="00F4692C" w:rsidRPr="0021424E" w:rsidRDefault="00F4692C" w:rsidP="00876D3C">
            <w:pPr>
              <w:jc w:val="center"/>
            </w:pPr>
            <w:r>
              <w:t>ks</w:t>
            </w:r>
            <w:r w:rsidRPr="0021424E">
              <w:t>_</w:t>
            </w:r>
            <w:r>
              <w:t>1135</w:t>
            </w:r>
          </w:p>
        </w:tc>
        <w:tc>
          <w:tcPr>
            <w:tcW w:w="1777" w:type="dxa"/>
          </w:tcPr>
          <w:p w:rsidR="00F4692C" w:rsidRPr="0021424E" w:rsidRDefault="00F4692C" w:rsidP="00876D3C">
            <w:r w:rsidRPr="0021424E">
              <w:rPr>
                <w:rFonts w:eastAsia="Calibri"/>
                <w:color w:val="000000"/>
                <w:lang w:eastAsia="en-US"/>
              </w:rPr>
              <w:t>Zverejňovanie údajov zapísaných v registri zbierok</w:t>
            </w:r>
          </w:p>
        </w:tc>
        <w:tc>
          <w:tcPr>
            <w:tcW w:w="1483" w:type="dxa"/>
          </w:tcPr>
          <w:p w:rsidR="00F4692C" w:rsidRPr="0021424E" w:rsidRDefault="00F4692C" w:rsidP="00876D3C">
            <w:r w:rsidRPr="0021424E">
              <w:t xml:space="preserve">     </w:t>
            </w:r>
          </w:p>
          <w:p w:rsidR="00F4692C" w:rsidRPr="0021424E" w:rsidRDefault="00F4692C" w:rsidP="00876D3C">
            <w:pPr>
              <w:jc w:val="center"/>
            </w:pPr>
            <w:r w:rsidRPr="0021424E">
              <w:t>4</w:t>
            </w:r>
          </w:p>
        </w:tc>
      </w:tr>
    </w:tbl>
    <w:p w:rsidR="00F4692C" w:rsidRDefault="00F4692C" w:rsidP="00F4692C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sz w:val="24"/>
          <w:szCs w:val="24"/>
          <w:u w:val="single"/>
          <w:lang w:eastAsia="en-US"/>
        </w:rPr>
      </w:pPr>
    </w:p>
    <w:p w:rsidR="00F4692C" w:rsidRPr="00F14E8D" w:rsidRDefault="00F4692C" w:rsidP="00F4692C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24"/>
          <w:szCs w:val="24"/>
          <w:lang w:eastAsia="en-US"/>
        </w:rPr>
      </w:pPr>
      <w:r w:rsidRPr="00F14E8D">
        <w:rPr>
          <w:rFonts w:eastAsia="Calibri"/>
          <w:bCs/>
          <w:i/>
          <w:color w:val="000000"/>
          <w:sz w:val="24"/>
          <w:szCs w:val="24"/>
          <w:lang w:eastAsia="en-US"/>
        </w:rPr>
        <w:t>Príklad č. 2</w:t>
      </w:r>
      <w:r w:rsidR="0073701E">
        <w:rPr>
          <w:rFonts w:eastAsia="Calibri"/>
          <w:bCs/>
          <w:i/>
          <w:color w:val="000000"/>
          <w:sz w:val="24"/>
          <w:szCs w:val="24"/>
          <w:lang w:eastAsia="en-US"/>
        </w:rPr>
        <w:t>:</w:t>
      </w:r>
      <w:r w:rsidRPr="00F14E8D">
        <w:rPr>
          <w:rFonts w:eastAsia="Calibri"/>
          <w:bCs/>
          <w:i/>
          <w:color w:val="000000"/>
          <w:sz w:val="24"/>
          <w:szCs w:val="24"/>
          <w:lang w:eastAsia="en-US"/>
        </w:rPr>
        <w:t xml:space="preserve"> </w:t>
      </w:r>
    </w:p>
    <w:p w:rsidR="00F4692C" w:rsidRPr="005C4B9C" w:rsidRDefault="00F4692C" w:rsidP="005B737D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Návrh zákona o verejných zbierkach a o zmene a doplnení niektorých zákonov predpokladá </w:t>
      </w:r>
      <w:r w:rsidRPr="0004120D">
        <w:rPr>
          <w:rFonts w:eastAsia="Calibri"/>
          <w:b/>
          <w:color w:val="000000"/>
          <w:sz w:val="24"/>
          <w:szCs w:val="24"/>
          <w:lang w:eastAsia="en-US"/>
        </w:rPr>
        <w:t>zmenu existujúcej koncovej služby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  „Povoľovanie verejných zbierok“:</w:t>
      </w:r>
    </w:p>
    <w:p w:rsidR="00F4692C" w:rsidRPr="005C4B9C" w:rsidRDefault="00F4692C" w:rsidP="005B737D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Pôvodná elektronická služba neumožňovala elektronické vyplnenie a podanie žiadosti, ale iba stiahnutie formuláru  žiadosti a jeho vytlačenie, ktorý sa vypĺňal ručne a posielal poštou, </w:t>
      </w:r>
      <w:proofErr w:type="spellStart"/>
      <w:r w:rsidRPr="005C4B9C">
        <w:rPr>
          <w:rFonts w:eastAsia="Calibri"/>
          <w:color w:val="000000"/>
          <w:sz w:val="24"/>
          <w:szCs w:val="24"/>
          <w:lang w:eastAsia="en-US"/>
        </w:rPr>
        <w:t>t.j</w:t>
      </w:r>
      <w:proofErr w:type="spellEnd"/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5C4B9C">
        <w:rPr>
          <w:rFonts w:eastAsia="Calibri"/>
          <w:sz w:val="24"/>
          <w:szCs w:val="24"/>
          <w:lang w:eastAsia="en-US"/>
        </w:rPr>
        <w:t xml:space="preserve">úroveň elektronizácie </w:t>
      </w:r>
      <w:r>
        <w:rPr>
          <w:rFonts w:eastAsia="Calibri"/>
          <w:sz w:val="24"/>
          <w:szCs w:val="24"/>
          <w:lang w:eastAsia="en-US"/>
        </w:rPr>
        <w:t xml:space="preserve">služby </w:t>
      </w:r>
      <w:r w:rsidRPr="005C4B9C">
        <w:rPr>
          <w:rFonts w:eastAsia="Calibri"/>
          <w:sz w:val="24"/>
          <w:szCs w:val="24"/>
          <w:lang w:eastAsia="en-US"/>
        </w:rPr>
        <w:t>2.</w:t>
      </w:r>
    </w:p>
    <w:p w:rsidR="00F4692C" w:rsidRDefault="00F4692C" w:rsidP="005B737D">
      <w:pPr>
        <w:jc w:val="both"/>
      </w:pPr>
      <w:r w:rsidRPr="005C4B9C">
        <w:rPr>
          <w:rFonts w:eastAsia="Calibri"/>
          <w:sz w:val="24"/>
          <w:szCs w:val="24"/>
          <w:lang w:eastAsia="en-US"/>
        </w:rPr>
        <w:t xml:space="preserve">Návrh zákona umožní 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elektronické podanie žiadosti a elektronické vydanie rozhodnutia o zápise zbierky do registra zbierok, z čoho vyplýva  zmena </w:t>
      </w:r>
      <w:r>
        <w:rPr>
          <w:rFonts w:eastAsia="Calibri"/>
          <w:color w:val="000000"/>
          <w:sz w:val="24"/>
          <w:szCs w:val="24"/>
          <w:lang w:eastAsia="en-US"/>
        </w:rPr>
        <w:t>doterajšej úrovne elektronizácie koncovej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služby</w:t>
      </w:r>
      <w:r>
        <w:rPr>
          <w:rFonts w:eastAsia="Calibri"/>
          <w:color w:val="000000"/>
          <w:sz w:val="24"/>
          <w:szCs w:val="24"/>
          <w:lang w:eastAsia="en-US"/>
        </w:rPr>
        <w:t xml:space="preserve"> z úrovne 1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na </w:t>
      </w:r>
      <w:r>
        <w:rPr>
          <w:rFonts w:eastAsia="Calibri"/>
          <w:color w:val="000000"/>
          <w:sz w:val="24"/>
          <w:szCs w:val="24"/>
          <w:lang w:eastAsia="en-US"/>
        </w:rPr>
        <w:t xml:space="preserve">cieľovú 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úroveň elektronizácie 4. </w:t>
      </w:r>
    </w:p>
    <w:p w:rsidR="00F4692C" w:rsidRPr="0067353A" w:rsidRDefault="00F4692C" w:rsidP="005B737D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7353A">
        <w:rPr>
          <w:rFonts w:eastAsia="Calibri"/>
          <w:color w:val="000000"/>
          <w:sz w:val="24"/>
          <w:szCs w:val="24"/>
          <w:lang w:eastAsia="en-US"/>
        </w:rPr>
        <w:t xml:space="preserve">V takom prípade správca vytvorí novú koncovú službu s novým kódom, s rovnakým názvom, s fázou </w:t>
      </w:r>
      <w:r>
        <w:rPr>
          <w:rFonts w:eastAsia="Calibri"/>
          <w:color w:val="000000"/>
          <w:sz w:val="24"/>
          <w:szCs w:val="24"/>
          <w:lang w:eastAsia="en-US"/>
        </w:rPr>
        <w:t>životného cyklu „plánovaná“</w:t>
      </w:r>
      <w:r w:rsidRPr="0067353A">
        <w:rPr>
          <w:rFonts w:eastAsia="Calibri"/>
          <w:color w:val="000000"/>
          <w:sz w:val="24"/>
          <w:szCs w:val="24"/>
          <w:lang w:eastAsia="en-US"/>
        </w:rPr>
        <w:t>.</w:t>
      </w:r>
      <w:r>
        <w:rPr>
          <w:rFonts w:eastAsia="Calibri"/>
          <w:color w:val="000000"/>
          <w:sz w:val="24"/>
          <w:szCs w:val="24"/>
          <w:lang w:eastAsia="en-US"/>
        </w:rPr>
        <w:t xml:space="preserve"> Po nasadení novej koncovej služby do prevádzky bude pôvodná koncová služba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zneplatnená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F4692C" w:rsidRPr="005C4B9C" w:rsidRDefault="00F4692C" w:rsidP="005B737D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Analýza vplyvov sa v </w:t>
      </w:r>
      <w:r w:rsidRPr="005C4B9C">
        <w:rPr>
          <w:rFonts w:eastAsia="Calibri"/>
          <w:sz w:val="24"/>
          <w:szCs w:val="24"/>
          <w:lang w:eastAsia="en-US"/>
        </w:rPr>
        <w:t xml:space="preserve">bode 6.1. vyplní </w:t>
      </w:r>
      <w:r w:rsidRPr="005C4B9C">
        <w:rPr>
          <w:rFonts w:eastAsia="Calibri"/>
          <w:color w:val="000000"/>
          <w:sz w:val="24"/>
          <w:szCs w:val="24"/>
          <w:lang w:eastAsia="en-US"/>
        </w:rPr>
        <w:t>nasledovne:</w:t>
      </w:r>
    </w:p>
    <w:p w:rsidR="00F4692C" w:rsidRPr="005C4B9C" w:rsidRDefault="00F4692C" w:rsidP="00F4692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1776"/>
        <w:gridCol w:w="1276"/>
        <w:gridCol w:w="1559"/>
        <w:gridCol w:w="1626"/>
      </w:tblGrid>
      <w:tr w:rsidR="00F4692C" w:rsidRPr="005C4B9C" w:rsidTr="00876D3C">
        <w:trPr>
          <w:trHeight w:val="652"/>
        </w:trPr>
        <w:tc>
          <w:tcPr>
            <w:tcW w:w="3484" w:type="dxa"/>
            <w:shd w:val="clear" w:color="auto" w:fill="C0C0C0"/>
          </w:tcPr>
          <w:p w:rsidR="00F4692C" w:rsidRPr="0067353A" w:rsidRDefault="00F4692C" w:rsidP="00876D3C">
            <w:pPr>
              <w:jc w:val="center"/>
              <w:rPr>
                <w:b/>
              </w:rPr>
            </w:pPr>
          </w:p>
          <w:p w:rsidR="00F4692C" w:rsidRPr="0067353A" w:rsidRDefault="00F4692C" w:rsidP="00876D3C">
            <w:pPr>
              <w:jc w:val="center"/>
              <w:rPr>
                <w:b/>
              </w:rPr>
            </w:pPr>
            <w:r w:rsidRPr="0067353A">
              <w:rPr>
                <w:b/>
              </w:rPr>
              <w:t xml:space="preserve">Biznis vrstva </w:t>
            </w:r>
          </w:p>
        </w:tc>
        <w:tc>
          <w:tcPr>
            <w:tcW w:w="1776" w:type="dxa"/>
            <w:shd w:val="clear" w:color="auto" w:fill="C0C0C0"/>
          </w:tcPr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A – nová služba</w:t>
            </w:r>
          </w:p>
          <w:p w:rsidR="00F4692C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B – zmena služby</w:t>
            </w:r>
          </w:p>
          <w:p w:rsidR="00C80982" w:rsidRPr="0067353A" w:rsidRDefault="00C80982" w:rsidP="00876D3C">
            <w:pPr>
              <w:rPr>
                <w:b/>
              </w:rPr>
            </w:pPr>
            <w:r>
              <w:rPr>
                <w:b/>
              </w:rPr>
              <w:t>C-zvýšené používanie služby</w:t>
            </w:r>
          </w:p>
        </w:tc>
        <w:tc>
          <w:tcPr>
            <w:tcW w:w="1276" w:type="dxa"/>
            <w:shd w:val="clear" w:color="auto" w:fill="C0C0C0"/>
          </w:tcPr>
          <w:p w:rsidR="00F4692C" w:rsidRPr="0067353A" w:rsidRDefault="00F4692C" w:rsidP="00A953B4">
            <w:pPr>
              <w:rPr>
                <w:b/>
              </w:rPr>
            </w:pPr>
            <w:r w:rsidRPr="0067353A">
              <w:rPr>
                <w:b/>
              </w:rPr>
              <w:t xml:space="preserve">Kód </w:t>
            </w:r>
            <w:r w:rsidR="00A953B4">
              <w:rPr>
                <w:b/>
              </w:rPr>
              <w:t>koncovej</w:t>
            </w:r>
            <w:r w:rsidR="00A953B4" w:rsidRPr="0067353A">
              <w:rPr>
                <w:b/>
              </w:rPr>
              <w:t xml:space="preserve"> </w:t>
            </w:r>
            <w:r w:rsidRPr="0067353A">
              <w:rPr>
                <w:b/>
              </w:rPr>
              <w:t>služby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C0C0C0"/>
          </w:tcPr>
          <w:p w:rsidR="00F4692C" w:rsidRPr="0067353A" w:rsidRDefault="00F4692C" w:rsidP="00A953B4">
            <w:pPr>
              <w:rPr>
                <w:b/>
              </w:rPr>
            </w:pPr>
            <w:r w:rsidRPr="0067353A">
              <w:rPr>
                <w:b/>
              </w:rPr>
              <w:t xml:space="preserve">Názov </w:t>
            </w:r>
            <w:r w:rsidR="00A953B4">
              <w:rPr>
                <w:b/>
              </w:rPr>
              <w:t>koncovej</w:t>
            </w:r>
            <w:r w:rsidR="00A953B4" w:rsidRPr="0067353A">
              <w:rPr>
                <w:b/>
              </w:rPr>
              <w:t xml:space="preserve"> </w:t>
            </w:r>
            <w:r w:rsidRPr="0067353A">
              <w:rPr>
                <w:b/>
              </w:rPr>
              <w:t xml:space="preserve">služby </w:t>
            </w:r>
            <w:r w:rsidR="00A953B4">
              <w:rPr>
                <w:b/>
              </w:rPr>
              <w:t xml:space="preserve"> </w:t>
            </w:r>
          </w:p>
        </w:tc>
        <w:tc>
          <w:tcPr>
            <w:tcW w:w="1626" w:type="dxa"/>
            <w:shd w:val="clear" w:color="auto" w:fill="C0C0C0"/>
          </w:tcPr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F4692C" w:rsidRPr="005C4B9C" w:rsidTr="00876D3C">
        <w:trPr>
          <w:trHeight w:val="962"/>
        </w:trPr>
        <w:tc>
          <w:tcPr>
            <w:tcW w:w="3484" w:type="dxa"/>
          </w:tcPr>
          <w:p w:rsidR="00F4692C" w:rsidRPr="005C4B9C" w:rsidRDefault="00F4692C" w:rsidP="00876D3C">
            <w:pPr>
              <w:jc w:val="both"/>
              <w:rPr>
                <w:b/>
                <w:sz w:val="22"/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alebo vytvorenie nových služieb</w:t>
            </w:r>
            <w:r>
              <w:rPr>
                <w:szCs w:val="22"/>
              </w:rPr>
              <w:t xml:space="preserve"> pre občana alebo podnikateľa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776" w:type="dxa"/>
          </w:tcPr>
          <w:p w:rsidR="00F4692C" w:rsidRPr="0021424E" w:rsidRDefault="00F4692C" w:rsidP="00876D3C">
            <w:pPr>
              <w:jc w:val="center"/>
            </w:pPr>
          </w:p>
          <w:p w:rsidR="00F4692C" w:rsidRPr="0021424E" w:rsidRDefault="00F4692C" w:rsidP="00876D3C">
            <w:pPr>
              <w:jc w:val="center"/>
            </w:pPr>
            <w:r w:rsidRPr="0021424E">
              <w:t>B</w:t>
            </w:r>
          </w:p>
        </w:tc>
        <w:tc>
          <w:tcPr>
            <w:tcW w:w="1276" w:type="dxa"/>
          </w:tcPr>
          <w:p w:rsidR="00F4692C" w:rsidRPr="0021424E" w:rsidRDefault="00F4692C" w:rsidP="00876D3C">
            <w:r>
              <w:t>ks</w:t>
            </w:r>
            <w:r w:rsidRPr="0021424E">
              <w:t xml:space="preserve">_1134 bude nahradená službou </w:t>
            </w:r>
          </w:p>
          <w:p w:rsidR="00F4692C" w:rsidRPr="0021424E" w:rsidRDefault="00F4692C" w:rsidP="00876D3C">
            <w:pPr>
              <w:jc w:val="center"/>
            </w:pPr>
            <w:r w:rsidRPr="0021424E">
              <w:t xml:space="preserve"> ks_337777</w:t>
            </w:r>
          </w:p>
        </w:tc>
        <w:tc>
          <w:tcPr>
            <w:tcW w:w="1559" w:type="dxa"/>
          </w:tcPr>
          <w:p w:rsidR="00F4692C" w:rsidRPr="0021424E" w:rsidRDefault="00F4692C" w:rsidP="00876D3C">
            <w:pPr>
              <w:jc w:val="both"/>
            </w:pPr>
            <w:r w:rsidRPr="0021424E">
              <w:rPr>
                <w:rFonts w:eastAsia="Calibri"/>
                <w:color w:val="000000"/>
                <w:lang w:eastAsia="en-US"/>
              </w:rPr>
              <w:t xml:space="preserve">Povoľovanie verejných zbierok </w:t>
            </w:r>
          </w:p>
        </w:tc>
        <w:tc>
          <w:tcPr>
            <w:tcW w:w="1626" w:type="dxa"/>
          </w:tcPr>
          <w:p w:rsidR="00F4692C" w:rsidRPr="0021424E" w:rsidRDefault="00F4692C" w:rsidP="00876D3C">
            <w:r w:rsidRPr="0021424E">
              <w:t>z 1 na  4</w:t>
            </w:r>
          </w:p>
        </w:tc>
      </w:tr>
    </w:tbl>
    <w:p w:rsidR="00F4692C" w:rsidRDefault="00F4692C" w:rsidP="00F4692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</w:pPr>
    </w:p>
    <w:p w:rsidR="00F4692C" w:rsidRDefault="00F4692C" w:rsidP="00F4692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</w:pPr>
    </w:p>
    <w:p w:rsidR="00E80A70" w:rsidRPr="00F14E8D" w:rsidRDefault="00E80A70" w:rsidP="00E80A70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24"/>
          <w:szCs w:val="24"/>
          <w:lang w:eastAsia="en-US"/>
        </w:rPr>
      </w:pPr>
      <w:r w:rsidRPr="00F14E8D">
        <w:rPr>
          <w:rFonts w:eastAsia="Calibri"/>
          <w:bCs/>
          <w:i/>
          <w:color w:val="000000"/>
          <w:sz w:val="24"/>
          <w:szCs w:val="24"/>
          <w:lang w:eastAsia="en-US"/>
        </w:rPr>
        <w:t xml:space="preserve">Príklad č. </w:t>
      </w:r>
      <w:r>
        <w:rPr>
          <w:rFonts w:eastAsia="Calibri"/>
          <w:bCs/>
          <w:i/>
          <w:color w:val="000000"/>
          <w:sz w:val="24"/>
          <w:szCs w:val="24"/>
          <w:lang w:eastAsia="en-US"/>
        </w:rPr>
        <w:t>3:</w:t>
      </w:r>
      <w:r w:rsidRPr="00F14E8D">
        <w:rPr>
          <w:rFonts w:eastAsia="Calibri"/>
          <w:bCs/>
          <w:i/>
          <w:color w:val="000000"/>
          <w:sz w:val="24"/>
          <w:szCs w:val="24"/>
          <w:lang w:eastAsia="en-US"/>
        </w:rPr>
        <w:t xml:space="preserve"> </w:t>
      </w:r>
    </w:p>
    <w:p w:rsidR="00E80A70" w:rsidRPr="005C4B9C" w:rsidRDefault="00E80A70" w:rsidP="00E80A70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Návrh zákona o</w:t>
      </w:r>
      <w:r w:rsidR="007D2F90">
        <w:rPr>
          <w:rFonts w:eastAsia="Calibri"/>
          <w:color w:val="000000"/>
          <w:sz w:val="24"/>
          <w:szCs w:val="24"/>
          <w:lang w:eastAsia="en-US"/>
        </w:rPr>
        <w:t> obchodnom registri</w:t>
      </w:r>
      <w:r w:rsidR="007B6242">
        <w:rPr>
          <w:rFonts w:eastAsia="Calibri"/>
          <w:color w:val="000000"/>
          <w:sz w:val="24"/>
          <w:szCs w:val="24"/>
          <w:lang w:eastAsia="en-US"/>
        </w:rPr>
        <w:t xml:space="preserve"> a o zmene 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a doplnení niektorých zákonov predpokladá </w:t>
      </w:r>
      <w:r w:rsidR="007D2F90">
        <w:rPr>
          <w:rFonts w:eastAsia="Calibri"/>
          <w:color w:val="000000"/>
          <w:sz w:val="24"/>
          <w:szCs w:val="24"/>
          <w:lang w:eastAsia="en-US"/>
        </w:rPr>
        <w:t>doplniť/zapísať identifikačné údaje fyzickej osoby</w:t>
      </w:r>
      <w:r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7B6242" w:rsidRPr="007D2F90">
        <w:rPr>
          <w:rFonts w:eastAsia="Calibri"/>
          <w:b/>
          <w:color w:val="000000"/>
          <w:sz w:val="24"/>
          <w:szCs w:val="24"/>
          <w:lang w:eastAsia="en-US"/>
        </w:rPr>
        <w:t xml:space="preserve">Zvýši sa tak </w:t>
      </w:r>
      <w:r w:rsidR="007D2F90" w:rsidRPr="007D2F90">
        <w:rPr>
          <w:rFonts w:eastAsia="Calibri"/>
          <w:b/>
          <w:color w:val="000000"/>
          <w:sz w:val="24"/>
          <w:szCs w:val="24"/>
          <w:lang w:eastAsia="en-US"/>
        </w:rPr>
        <w:t>využívanie existujúcej</w:t>
      </w:r>
      <w:r w:rsidR="007D2F9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4120D">
        <w:rPr>
          <w:rFonts w:eastAsia="Calibri"/>
          <w:b/>
          <w:color w:val="000000"/>
          <w:sz w:val="24"/>
          <w:szCs w:val="24"/>
          <w:lang w:eastAsia="en-US"/>
        </w:rPr>
        <w:t>koncovej služby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  „</w:t>
      </w:r>
      <w:r w:rsidR="007D2F90" w:rsidRPr="007D2F90">
        <w:rPr>
          <w:rFonts w:eastAsia="Calibri"/>
          <w:color w:val="000000"/>
          <w:sz w:val="24"/>
          <w:szCs w:val="24"/>
          <w:lang w:eastAsia="en-US"/>
        </w:rPr>
        <w:t>Podávanie návrhu na zápis, zmenu a výmaz údajov v obchodnom registri</w:t>
      </w:r>
      <w:r w:rsidRPr="005C4B9C">
        <w:rPr>
          <w:rFonts w:eastAsia="Calibri"/>
          <w:color w:val="000000"/>
          <w:sz w:val="24"/>
          <w:szCs w:val="24"/>
          <w:lang w:eastAsia="en-US"/>
        </w:rPr>
        <w:t>“:</w:t>
      </w:r>
    </w:p>
    <w:p w:rsidR="00E80A70" w:rsidRPr="0067353A" w:rsidRDefault="007D2F90" w:rsidP="00623E03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Návrh zákona zvýši používanie tejto koncovej služby, keďže z neho vyplýva povinnosť požiadať o zápis údajov do obchodného registra</w:t>
      </w:r>
      <w:r w:rsidR="00623E03">
        <w:rPr>
          <w:rFonts w:eastAsia="Calibri"/>
          <w:sz w:val="24"/>
          <w:szCs w:val="24"/>
          <w:lang w:eastAsia="en-US"/>
        </w:rPr>
        <w:t xml:space="preserve">. </w:t>
      </w:r>
      <w:r w:rsidR="008321FD">
        <w:rPr>
          <w:rFonts w:eastAsia="Calibri"/>
          <w:sz w:val="24"/>
          <w:szCs w:val="24"/>
          <w:lang w:eastAsia="en-US"/>
        </w:rPr>
        <w:t xml:space="preserve">Je možné, že existujúca služba bude musieť byť upravená (pridané nové pole a pod) – nejedná sa však o novú službu alebo o výmenu služby. </w:t>
      </w:r>
      <w:r w:rsidR="00623E03">
        <w:rPr>
          <w:rFonts w:eastAsia="Calibri"/>
          <w:sz w:val="24"/>
          <w:szCs w:val="24"/>
          <w:lang w:eastAsia="en-US"/>
        </w:rPr>
        <w:t xml:space="preserve">Navrhovateľ musí vyčísliť odhad zvýšeného používania služby. Odhad počtu podaní, ktoré vyvolá predkladaný návrh zapíše do </w:t>
      </w:r>
      <w:r w:rsidR="00EC7A1A">
        <w:rPr>
          <w:rFonts w:eastAsia="Calibri"/>
          <w:sz w:val="24"/>
          <w:szCs w:val="24"/>
          <w:lang w:eastAsia="en-US"/>
        </w:rPr>
        <w:t>príslušnej  časti.</w:t>
      </w:r>
      <w:r w:rsidR="00623E03">
        <w:rPr>
          <w:rFonts w:eastAsia="Calibri"/>
          <w:sz w:val="24"/>
          <w:szCs w:val="24"/>
          <w:lang w:eastAsia="en-US"/>
        </w:rPr>
        <w:t xml:space="preserve"> </w:t>
      </w:r>
    </w:p>
    <w:p w:rsidR="00E80A70" w:rsidRPr="005C4B9C" w:rsidRDefault="00E80A70" w:rsidP="00E80A70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Analýza vplyvov sa v </w:t>
      </w:r>
      <w:r w:rsidRPr="005C4B9C">
        <w:rPr>
          <w:rFonts w:eastAsia="Calibri"/>
          <w:sz w:val="24"/>
          <w:szCs w:val="24"/>
          <w:lang w:eastAsia="en-US"/>
        </w:rPr>
        <w:t xml:space="preserve">bode 6.1. vyplní </w:t>
      </w:r>
      <w:r w:rsidRPr="005C4B9C">
        <w:rPr>
          <w:rFonts w:eastAsia="Calibri"/>
          <w:color w:val="000000"/>
          <w:sz w:val="24"/>
          <w:szCs w:val="24"/>
          <w:lang w:eastAsia="en-US"/>
        </w:rPr>
        <w:t>nasledovne:</w:t>
      </w:r>
    </w:p>
    <w:p w:rsidR="00E80A70" w:rsidRPr="005C4B9C" w:rsidRDefault="00E80A70" w:rsidP="00E80A70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484"/>
        <w:gridCol w:w="1776"/>
        <w:gridCol w:w="1276"/>
        <w:gridCol w:w="1559"/>
        <w:gridCol w:w="1626"/>
      </w:tblGrid>
      <w:tr w:rsidR="00E80A70" w:rsidRPr="005C4B9C" w:rsidTr="00623E03">
        <w:trPr>
          <w:trHeight w:val="652"/>
        </w:trPr>
        <w:tc>
          <w:tcPr>
            <w:tcW w:w="3484" w:type="dxa"/>
            <w:shd w:val="clear" w:color="auto" w:fill="C0C0C0"/>
          </w:tcPr>
          <w:p w:rsidR="00E80A70" w:rsidRPr="0067353A" w:rsidRDefault="00E80A70" w:rsidP="00623E03">
            <w:pPr>
              <w:jc w:val="center"/>
              <w:rPr>
                <w:b/>
              </w:rPr>
            </w:pPr>
          </w:p>
          <w:p w:rsidR="00E80A70" w:rsidRPr="0067353A" w:rsidRDefault="00E80A70" w:rsidP="00623E03">
            <w:pPr>
              <w:jc w:val="center"/>
              <w:rPr>
                <w:b/>
              </w:rPr>
            </w:pPr>
            <w:r w:rsidRPr="0067353A">
              <w:rPr>
                <w:b/>
              </w:rPr>
              <w:t xml:space="preserve">Biznis vrstva </w:t>
            </w:r>
          </w:p>
        </w:tc>
        <w:tc>
          <w:tcPr>
            <w:tcW w:w="1776" w:type="dxa"/>
            <w:shd w:val="clear" w:color="auto" w:fill="C0C0C0"/>
          </w:tcPr>
          <w:p w:rsidR="00E80A70" w:rsidRPr="0067353A" w:rsidRDefault="00E80A70" w:rsidP="00623E03">
            <w:pPr>
              <w:rPr>
                <w:b/>
              </w:rPr>
            </w:pPr>
            <w:r w:rsidRPr="0067353A">
              <w:rPr>
                <w:b/>
              </w:rPr>
              <w:t>A – nová služba</w:t>
            </w:r>
          </w:p>
          <w:p w:rsidR="00E80A70" w:rsidRDefault="00E80A70" w:rsidP="00623E03">
            <w:pPr>
              <w:rPr>
                <w:b/>
              </w:rPr>
            </w:pPr>
            <w:r w:rsidRPr="0067353A">
              <w:rPr>
                <w:b/>
              </w:rPr>
              <w:t>B – zmena služby</w:t>
            </w:r>
          </w:p>
          <w:p w:rsidR="007D2F90" w:rsidRPr="0067353A" w:rsidRDefault="007D2F90" w:rsidP="00623E03">
            <w:pPr>
              <w:rPr>
                <w:b/>
              </w:rPr>
            </w:pPr>
            <w:r>
              <w:rPr>
                <w:b/>
              </w:rPr>
              <w:t>C – zvýšené používanie služby</w:t>
            </w:r>
          </w:p>
        </w:tc>
        <w:tc>
          <w:tcPr>
            <w:tcW w:w="1276" w:type="dxa"/>
            <w:shd w:val="clear" w:color="auto" w:fill="C0C0C0"/>
          </w:tcPr>
          <w:p w:rsidR="00E80A70" w:rsidRPr="0067353A" w:rsidRDefault="00E80A70" w:rsidP="00623E03">
            <w:pPr>
              <w:rPr>
                <w:b/>
              </w:rPr>
            </w:pPr>
            <w:r w:rsidRPr="0067353A">
              <w:rPr>
                <w:b/>
              </w:rPr>
              <w:t xml:space="preserve">Kód </w:t>
            </w:r>
            <w:r>
              <w:rPr>
                <w:b/>
              </w:rPr>
              <w:t>koncovej</w:t>
            </w:r>
            <w:r w:rsidRPr="0067353A">
              <w:rPr>
                <w:b/>
              </w:rPr>
              <w:t xml:space="preserve"> služby</w:t>
            </w:r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shd w:val="clear" w:color="auto" w:fill="C0C0C0"/>
          </w:tcPr>
          <w:p w:rsidR="00E80A70" w:rsidRPr="0067353A" w:rsidRDefault="00E80A70" w:rsidP="00623E03">
            <w:pPr>
              <w:rPr>
                <w:b/>
              </w:rPr>
            </w:pPr>
            <w:r w:rsidRPr="0067353A">
              <w:rPr>
                <w:b/>
              </w:rPr>
              <w:t xml:space="preserve">Názov </w:t>
            </w:r>
            <w:r>
              <w:rPr>
                <w:b/>
              </w:rPr>
              <w:t>koncovej</w:t>
            </w:r>
            <w:r w:rsidRPr="0067353A">
              <w:rPr>
                <w:b/>
              </w:rPr>
              <w:t xml:space="preserve"> služby </w:t>
            </w:r>
            <w:r>
              <w:rPr>
                <w:b/>
              </w:rPr>
              <w:t xml:space="preserve"> </w:t>
            </w:r>
          </w:p>
        </w:tc>
        <w:tc>
          <w:tcPr>
            <w:tcW w:w="1626" w:type="dxa"/>
            <w:shd w:val="clear" w:color="auto" w:fill="C0C0C0"/>
          </w:tcPr>
          <w:p w:rsidR="00E80A70" w:rsidRPr="0067353A" w:rsidRDefault="00E80A70" w:rsidP="00623E03">
            <w:pPr>
              <w:rPr>
                <w:b/>
              </w:rPr>
            </w:pPr>
            <w:r w:rsidRPr="0067353A">
              <w:rPr>
                <w:b/>
              </w:rPr>
              <w:t>Úroveň elektronizácie</w:t>
            </w:r>
            <w:r w:rsidR="00EC7A1A">
              <w:rPr>
                <w:b/>
              </w:rPr>
              <w:t xml:space="preserve"> – pre C odhad počtu podaní</w:t>
            </w:r>
          </w:p>
        </w:tc>
      </w:tr>
      <w:tr w:rsidR="00E80A70" w:rsidRPr="005C4B9C" w:rsidTr="00623E03">
        <w:trPr>
          <w:trHeight w:val="962"/>
        </w:trPr>
        <w:tc>
          <w:tcPr>
            <w:tcW w:w="3484" w:type="dxa"/>
          </w:tcPr>
          <w:p w:rsidR="00E80A70" w:rsidRPr="005C4B9C" w:rsidRDefault="00E80A70" w:rsidP="00623E03">
            <w:pPr>
              <w:jc w:val="both"/>
              <w:rPr>
                <w:b/>
                <w:sz w:val="22"/>
                <w:szCs w:val="22"/>
              </w:rPr>
            </w:pPr>
            <w:r w:rsidRPr="005C4B9C">
              <w:rPr>
                <w:b/>
                <w:szCs w:val="22"/>
              </w:rPr>
              <w:t>6.1.</w:t>
            </w:r>
            <w:r w:rsidRPr="005C4B9C">
              <w:rPr>
                <w:szCs w:val="22"/>
              </w:rPr>
              <w:t xml:space="preserve"> Predpokladá predložený návrh zmenu existujúcich </w:t>
            </w:r>
            <w:r>
              <w:rPr>
                <w:szCs w:val="22"/>
              </w:rPr>
              <w:t>koncových</w:t>
            </w:r>
            <w:r w:rsidRPr="005C4B9C">
              <w:rPr>
                <w:szCs w:val="22"/>
              </w:rPr>
              <w:t xml:space="preserve"> služieb verejnej správy alebo vytvorenie nových služieb</w:t>
            </w:r>
            <w:r>
              <w:rPr>
                <w:szCs w:val="22"/>
              </w:rPr>
              <w:t xml:space="preserve"> pre občana alebo podnikateľa</w:t>
            </w:r>
            <w:r w:rsidRPr="005C4B9C">
              <w:rPr>
                <w:szCs w:val="22"/>
              </w:rPr>
              <w:t>?</w:t>
            </w:r>
          </w:p>
        </w:tc>
        <w:tc>
          <w:tcPr>
            <w:tcW w:w="1776" w:type="dxa"/>
          </w:tcPr>
          <w:p w:rsidR="00E80A70" w:rsidRPr="0021424E" w:rsidRDefault="00E80A70" w:rsidP="00623E03">
            <w:pPr>
              <w:jc w:val="center"/>
            </w:pPr>
          </w:p>
          <w:p w:rsidR="00E80A70" w:rsidRPr="0021424E" w:rsidRDefault="007D2F90" w:rsidP="00623E03">
            <w:pPr>
              <w:jc w:val="center"/>
            </w:pPr>
            <w:r>
              <w:t>C</w:t>
            </w:r>
          </w:p>
        </w:tc>
        <w:tc>
          <w:tcPr>
            <w:tcW w:w="1276" w:type="dxa"/>
          </w:tcPr>
          <w:p w:rsidR="00E80A70" w:rsidRPr="0021424E" w:rsidRDefault="007D2F90" w:rsidP="00623E03">
            <w:pPr>
              <w:jc w:val="center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ks_340713</w:t>
            </w:r>
          </w:p>
        </w:tc>
        <w:tc>
          <w:tcPr>
            <w:tcW w:w="1559" w:type="dxa"/>
          </w:tcPr>
          <w:p w:rsidR="00E80A70" w:rsidRPr="0021424E" w:rsidRDefault="007D2F90" w:rsidP="00623E03">
            <w:pPr>
              <w:jc w:val="both"/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Podávanie návrhu na zápis, zmenu a výmaz údajov v obchodnom registri</w:t>
            </w:r>
          </w:p>
        </w:tc>
        <w:tc>
          <w:tcPr>
            <w:tcW w:w="1626" w:type="dxa"/>
          </w:tcPr>
          <w:p w:rsidR="00E80A70" w:rsidRPr="0021424E" w:rsidRDefault="00623E03" w:rsidP="00623E03">
            <w:r>
              <w:t>65 000</w:t>
            </w:r>
          </w:p>
        </w:tc>
      </w:tr>
    </w:tbl>
    <w:p w:rsidR="00E80A70" w:rsidRDefault="00E80A70" w:rsidP="00F4692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</w:pPr>
    </w:p>
    <w:p w:rsidR="00F4692C" w:rsidRPr="005C4B9C" w:rsidRDefault="00F4692C" w:rsidP="00F4692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 xml:space="preserve">Pilier </w:t>
      </w:r>
      <w:r w:rsidRPr="005C4B9C"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>II</w:t>
      </w:r>
      <w:r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>.:</w:t>
      </w:r>
      <w:r w:rsidRPr="005C4B9C"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 xml:space="preserve"> </w:t>
      </w:r>
      <w:r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>Aplikačná a technologická vrstva</w:t>
      </w:r>
    </w:p>
    <w:p w:rsidR="00F4692C" w:rsidRPr="005C4B9C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V rámci tohto piliera sa hodnotí, či predmetný návrh má vplyv na  rozširovani</w:t>
      </w:r>
      <w:r>
        <w:rPr>
          <w:rFonts w:eastAsia="Calibri"/>
          <w:color w:val="000000"/>
          <w:sz w:val="24"/>
          <w:szCs w:val="24"/>
          <w:lang w:eastAsia="en-US"/>
        </w:rPr>
        <w:t>e</w:t>
      </w:r>
      <w:r w:rsidRPr="005C4B9C">
        <w:rPr>
          <w:rFonts w:eastAsia="Calibri"/>
          <w:color w:val="000000"/>
          <w:sz w:val="24"/>
          <w:szCs w:val="24"/>
          <w:lang w:eastAsia="en-US"/>
        </w:rPr>
        <w:t>, inovácie, vytvoreni</w:t>
      </w:r>
      <w:r>
        <w:rPr>
          <w:rFonts w:eastAsia="Calibri"/>
          <w:color w:val="000000"/>
          <w:sz w:val="24"/>
          <w:szCs w:val="24"/>
          <w:lang w:eastAsia="en-US"/>
        </w:rPr>
        <w:t>e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a zavádzani</w:t>
      </w:r>
      <w:r>
        <w:rPr>
          <w:rFonts w:eastAsia="Calibri"/>
          <w:color w:val="000000"/>
          <w:sz w:val="24"/>
          <w:szCs w:val="24"/>
          <w:lang w:eastAsia="en-US"/>
        </w:rPr>
        <w:t>e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nových informačných </w:t>
      </w:r>
      <w:r>
        <w:rPr>
          <w:rFonts w:eastAsia="Calibri"/>
          <w:color w:val="000000"/>
          <w:sz w:val="24"/>
          <w:szCs w:val="24"/>
          <w:lang w:eastAsia="en-US"/>
        </w:rPr>
        <w:t>systémov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verejnej správy.</w:t>
      </w:r>
    </w:p>
    <w:p w:rsidR="00F4692C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Theme="minorHAnsi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Informačným systémom sa podľa </w:t>
      </w:r>
      <w:r w:rsidRPr="00F14E8D">
        <w:rPr>
          <w:rFonts w:eastAsia="Calibri"/>
          <w:color w:val="000000"/>
          <w:sz w:val="24"/>
          <w:szCs w:val="24"/>
          <w:lang w:eastAsia="en-US"/>
        </w:rPr>
        <w:t>zákona o informačných technológiách verejnej správy</w:t>
      </w:r>
      <w:r w:rsidR="00464E17" w:rsidRPr="004A32F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4A32F0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rozumie funkčný celok zabezpečujúci cieľavedomú a systematickú informačnú činnosť </w:t>
      </w:r>
      <w:r w:rsidRPr="005C4B9C">
        <w:rPr>
          <w:rFonts w:eastAsia="Calibri"/>
          <w:color w:val="000000"/>
          <w:sz w:val="24"/>
          <w:szCs w:val="24"/>
          <w:lang w:eastAsia="en-US"/>
        </w:rPr>
        <w:lastRenderedPageBreak/>
        <w:t>prostredníctvom technických a programových prostriedkov.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Informačným systémom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verejnej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správy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je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informačný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systém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v</w:t>
      </w:r>
      <w:r>
        <w:rPr>
          <w:rFonts w:eastAsiaTheme="minorHAnsi"/>
          <w:sz w:val="24"/>
          <w:szCs w:val="24"/>
          <w:lang w:eastAsia="en-US"/>
        </w:rPr>
        <w:t> </w:t>
      </w:r>
      <w:r w:rsidRPr="00DD0829">
        <w:rPr>
          <w:rFonts w:eastAsiaTheme="minorHAnsi"/>
          <w:sz w:val="24"/>
          <w:szCs w:val="24"/>
          <w:lang w:eastAsia="en-US"/>
        </w:rPr>
        <w:t>pôsobnosti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správcu</w:t>
      </w:r>
      <w:r>
        <w:rPr>
          <w:rFonts w:eastAsiaTheme="minorHAnsi"/>
          <w:sz w:val="24"/>
          <w:szCs w:val="24"/>
          <w:lang w:eastAsia="en-US"/>
        </w:rPr>
        <w:t xml:space="preserve"> p</w:t>
      </w:r>
      <w:r w:rsidRPr="00DD0829">
        <w:rPr>
          <w:rFonts w:eastAsiaTheme="minorHAnsi"/>
          <w:sz w:val="24"/>
          <w:szCs w:val="24"/>
          <w:lang w:eastAsia="en-US"/>
        </w:rPr>
        <w:t>odporujúci služby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verejnej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správy,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služby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vo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verejnom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záujme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alebo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verejné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D0829">
        <w:rPr>
          <w:rFonts w:eastAsiaTheme="minorHAnsi"/>
          <w:sz w:val="24"/>
          <w:szCs w:val="24"/>
          <w:lang w:eastAsia="en-US"/>
        </w:rPr>
        <w:t>služby.</w:t>
      </w:r>
    </w:p>
    <w:p w:rsidR="004A32F0" w:rsidRPr="004A32F0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14E8D">
        <w:rPr>
          <w:rFonts w:eastAsia="Calibri"/>
          <w:color w:val="000000"/>
          <w:sz w:val="24"/>
          <w:szCs w:val="24"/>
          <w:lang w:eastAsia="en-US"/>
        </w:rPr>
        <w:t xml:space="preserve">Podľa </w:t>
      </w:r>
      <w:r w:rsidRPr="00F14E8D">
        <w:rPr>
          <w:sz w:val="24"/>
          <w:szCs w:val="24"/>
        </w:rPr>
        <w:t>§ 12 ods. 1 písm. b)</w:t>
      </w:r>
      <w:r w:rsidRPr="00F14E8D">
        <w:rPr>
          <w:szCs w:val="24"/>
        </w:rPr>
        <w:t xml:space="preserve"> </w:t>
      </w:r>
      <w:r w:rsidRPr="00F14E8D">
        <w:rPr>
          <w:rFonts w:eastAsia="Calibri"/>
          <w:color w:val="000000"/>
          <w:sz w:val="24"/>
          <w:szCs w:val="24"/>
          <w:lang w:eastAsia="en-US"/>
        </w:rPr>
        <w:t>zákona č. 95/2019 Z. z. o informačných technológiách vo verejnej správe a o zmene a doplnení niektorých zákonov v znení neskorších predpisov sú správcovia informačných technológií verejnej správy povinní bezodkladne sprístupňovať informácie o informačných technológiách verejnej správy, ktoré prevádzkujú</w:t>
      </w:r>
      <w:r w:rsidR="00464E17" w:rsidRPr="00F14E8D">
        <w:rPr>
          <w:rFonts w:eastAsia="Calibri"/>
          <w:color w:val="000000"/>
          <w:sz w:val="24"/>
          <w:szCs w:val="24"/>
          <w:lang w:eastAsia="en-US"/>
        </w:rPr>
        <w:t>,</w:t>
      </w:r>
      <w:r w:rsidRPr="00F14E8D">
        <w:rPr>
          <w:rFonts w:eastAsia="Calibri"/>
          <w:color w:val="000000"/>
          <w:sz w:val="24"/>
          <w:szCs w:val="24"/>
          <w:lang w:eastAsia="en-US"/>
        </w:rPr>
        <w:t xml:space="preserve"> prostredníctvom MetaIS. Do tohto systému sa zapisujú nielen prevádzkované, ale aj plánované informačné technológie verejnej správy. Potrebné informácie je možné nájsť na webovej stránke </w:t>
      </w:r>
      <w:r w:rsidR="00735F5D">
        <w:rPr>
          <w:rFonts w:eastAsia="Calibri"/>
          <w:color w:val="000000"/>
          <w:sz w:val="24"/>
          <w:szCs w:val="24"/>
          <w:lang w:eastAsia="en-US"/>
        </w:rPr>
        <w:t>MIRRI SR</w:t>
      </w:r>
      <w:r w:rsidRPr="00F14E8D">
        <w:rPr>
          <w:rFonts w:eastAsia="Calibri"/>
          <w:color w:val="000000"/>
          <w:sz w:val="24"/>
          <w:szCs w:val="24"/>
          <w:lang w:eastAsia="en-US"/>
        </w:rPr>
        <w:t>.</w:t>
      </w:r>
      <w:r w:rsidRPr="00F14E8D">
        <w:rPr>
          <w:rFonts w:eastAsia="Calibri"/>
          <w:color w:val="000000"/>
          <w:sz w:val="24"/>
          <w:szCs w:val="24"/>
          <w:vertAlign w:val="superscript"/>
          <w:lang w:eastAsia="en-US"/>
        </w:rPr>
        <w:fldChar w:fldCharType="begin"/>
      </w:r>
      <w:r w:rsidRPr="00F14E8D">
        <w:rPr>
          <w:rFonts w:eastAsia="Calibri"/>
          <w:color w:val="000000"/>
          <w:sz w:val="24"/>
          <w:szCs w:val="24"/>
          <w:vertAlign w:val="superscript"/>
          <w:lang w:eastAsia="en-US"/>
        </w:rPr>
        <w:instrText xml:space="preserve"> NOTEREF _Ref12973993 \h  \* MERGEFORMAT </w:instrText>
      </w:r>
      <w:r w:rsidRPr="00F14E8D">
        <w:rPr>
          <w:rFonts w:eastAsia="Calibri"/>
          <w:color w:val="000000"/>
          <w:sz w:val="24"/>
          <w:szCs w:val="24"/>
          <w:vertAlign w:val="superscript"/>
          <w:lang w:eastAsia="en-US"/>
        </w:rPr>
      </w:r>
      <w:r w:rsidRPr="00F14E8D">
        <w:rPr>
          <w:rFonts w:eastAsia="Calibri"/>
          <w:color w:val="000000"/>
          <w:sz w:val="24"/>
          <w:szCs w:val="24"/>
          <w:vertAlign w:val="superscript"/>
          <w:lang w:eastAsia="en-US"/>
        </w:rPr>
        <w:fldChar w:fldCharType="separate"/>
      </w:r>
      <w:r w:rsidR="00EC7A1A">
        <w:rPr>
          <w:rFonts w:eastAsia="Calibri"/>
          <w:color w:val="000000"/>
          <w:sz w:val="24"/>
          <w:szCs w:val="24"/>
          <w:vertAlign w:val="superscript"/>
          <w:lang w:eastAsia="en-US"/>
        </w:rPr>
        <w:t>1</w:t>
      </w:r>
      <w:r w:rsidRPr="00F14E8D">
        <w:rPr>
          <w:rFonts w:eastAsia="Calibri"/>
          <w:color w:val="000000"/>
          <w:sz w:val="24"/>
          <w:szCs w:val="24"/>
          <w:vertAlign w:val="superscript"/>
          <w:lang w:eastAsia="en-US"/>
        </w:rPr>
        <w:fldChar w:fldCharType="end"/>
      </w:r>
      <w:r w:rsidR="00464E17" w:rsidRPr="00F14E8D">
        <w:rPr>
          <w:rFonts w:eastAsia="Calibri"/>
          <w:color w:val="000000"/>
          <w:sz w:val="24"/>
          <w:szCs w:val="24"/>
          <w:vertAlign w:val="superscript"/>
          <w:lang w:eastAsia="en-US"/>
        </w:rPr>
        <w:t xml:space="preserve"> </w:t>
      </w:r>
    </w:p>
    <w:p w:rsidR="00F4692C" w:rsidRPr="005C4B9C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Pod </w:t>
      </w:r>
      <w:r>
        <w:rPr>
          <w:rFonts w:eastAsia="Calibri"/>
          <w:color w:val="000000"/>
          <w:sz w:val="24"/>
          <w:szCs w:val="24"/>
          <w:lang w:eastAsia="en-US"/>
        </w:rPr>
        <w:t>rozvojom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informačného systému sa chápe je</w:t>
      </w:r>
      <w:r>
        <w:rPr>
          <w:rFonts w:eastAsia="Calibri"/>
          <w:color w:val="000000"/>
          <w:sz w:val="24"/>
          <w:szCs w:val="24"/>
          <w:lang w:eastAsia="en-US"/>
        </w:rPr>
        <w:t>ho</w:t>
      </w:r>
      <w:r w:rsidR="00C615C4">
        <w:rPr>
          <w:rFonts w:eastAsia="Calibri"/>
          <w:color w:val="000000"/>
          <w:sz w:val="24"/>
          <w:szCs w:val="24"/>
          <w:lang w:eastAsia="en-US"/>
        </w:rPr>
        <w:t xml:space="preserve"> inovácia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chápaná ako proces obnovy, zmeny vizuálneho stavu (</w:t>
      </w:r>
      <w:proofErr w:type="spellStart"/>
      <w:r w:rsidRPr="005C4B9C">
        <w:rPr>
          <w:rFonts w:eastAsia="Calibri"/>
          <w:color w:val="000000"/>
          <w:sz w:val="24"/>
          <w:szCs w:val="24"/>
          <w:lang w:eastAsia="en-US"/>
        </w:rPr>
        <w:t>redizajnu</w:t>
      </w:r>
      <w:proofErr w:type="spellEnd"/>
      <w:r w:rsidRPr="005C4B9C">
        <w:rPr>
          <w:rFonts w:eastAsia="Calibri"/>
          <w:color w:val="000000"/>
          <w:sz w:val="24"/>
          <w:szCs w:val="24"/>
          <w:lang w:eastAsia="en-US"/>
        </w:rPr>
        <w:t>)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optimalizácie vytvoreného informačného systému, technick</w:t>
      </w:r>
      <w:r>
        <w:rPr>
          <w:rFonts w:eastAsia="Calibri"/>
          <w:color w:val="000000"/>
          <w:sz w:val="24"/>
          <w:szCs w:val="24"/>
          <w:lang w:eastAsia="en-US"/>
        </w:rPr>
        <w:t>ej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 xml:space="preserve"> zmeny,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alebo r</w:t>
      </w:r>
      <w:r w:rsidRPr="005C4B9C">
        <w:rPr>
          <w:rFonts w:eastAsia="Calibri"/>
          <w:color w:val="000000"/>
          <w:sz w:val="24"/>
          <w:szCs w:val="24"/>
          <w:lang w:eastAsia="en-US"/>
        </w:rPr>
        <w:t>ozš</w:t>
      </w:r>
      <w:r>
        <w:rPr>
          <w:rFonts w:eastAsia="Calibri"/>
          <w:color w:val="000000"/>
          <w:sz w:val="24"/>
          <w:szCs w:val="24"/>
          <w:lang w:eastAsia="en-US"/>
        </w:rPr>
        <w:t xml:space="preserve">írenie, pridanie </w:t>
      </w:r>
      <w:r w:rsidRPr="005C4B9C">
        <w:rPr>
          <w:rFonts w:eastAsia="Calibri"/>
          <w:color w:val="000000"/>
          <w:sz w:val="24"/>
          <w:szCs w:val="24"/>
          <w:lang w:eastAsia="en-US"/>
        </w:rPr>
        <w:t>dátových modulov,</w:t>
      </w:r>
      <w:r>
        <w:rPr>
          <w:rFonts w:eastAsia="Calibri"/>
          <w:color w:val="000000"/>
          <w:sz w:val="24"/>
          <w:szCs w:val="24"/>
          <w:lang w:eastAsia="en-US"/>
        </w:rPr>
        <w:t xml:space="preserve"> využitie vládnych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cloudových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služieb typu Infraštruktúra ako služba -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IaaS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, platforma ako služba -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PaaS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, Softvér ako služba –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SaaS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, využitie  otvoreného softvéru, zavedenie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open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API, </w:t>
      </w:r>
      <w:r w:rsidRPr="005C4B9C">
        <w:rPr>
          <w:rFonts w:eastAsia="Calibri"/>
          <w:color w:val="000000"/>
          <w:sz w:val="24"/>
          <w:szCs w:val="24"/>
          <w:lang w:eastAsia="en-US"/>
        </w:rPr>
        <w:t>novej funkčnosti</w:t>
      </w:r>
      <w:r>
        <w:rPr>
          <w:rFonts w:eastAsia="Calibri"/>
          <w:color w:val="000000"/>
          <w:sz w:val="24"/>
          <w:szCs w:val="24"/>
          <w:lang w:eastAsia="en-US"/>
        </w:rPr>
        <w:t xml:space="preserve"> a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vzájomné prepájanie informačných systémov na základe štandardov so zabezpečením </w:t>
      </w:r>
      <w:proofErr w:type="spellStart"/>
      <w:r w:rsidRPr="005C4B9C">
        <w:rPr>
          <w:rFonts w:eastAsia="Calibri"/>
          <w:color w:val="000000"/>
          <w:sz w:val="24"/>
          <w:szCs w:val="24"/>
          <w:lang w:eastAsia="en-US"/>
        </w:rPr>
        <w:t>interoperability</w:t>
      </w:r>
      <w:proofErr w:type="spellEnd"/>
      <w:r w:rsidRPr="005C4B9C">
        <w:rPr>
          <w:rFonts w:eastAsia="Calibri"/>
          <w:color w:val="000000"/>
          <w:sz w:val="24"/>
          <w:szCs w:val="24"/>
          <w:lang w:eastAsia="en-US"/>
        </w:rPr>
        <w:t>.</w:t>
      </w:r>
      <w:r>
        <w:rPr>
          <w:rFonts w:eastAsia="Calibri"/>
          <w:color w:val="000000"/>
          <w:sz w:val="24"/>
          <w:szCs w:val="24"/>
          <w:lang w:eastAsia="en-US"/>
        </w:rPr>
        <w:t xml:space="preserve"> V rámci analýzy vplyvov na informatizáciu nie je potrebné posudzovať </w:t>
      </w:r>
      <w:r w:rsidRPr="002E0274">
        <w:rPr>
          <w:rFonts w:eastAsia="Calibri"/>
          <w:color w:val="000000"/>
          <w:sz w:val="24"/>
          <w:szCs w:val="24"/>
          <w:lang w:eastAsia="en-US"/>
        </w:rPr>
        <w:t>rozvoj</w:t>
      </w:r>
      <w:r>
        <w:rPr>
          <w:rFonts w:eastAsia="Calibri"/>
          <w:color w:val="000000"/>
          <w:sz w:val="24"/>
          <w:szCs w:val="24"/>
          <w:lang w:eastAsia="en-US"/>
        </w:rPr>
        <w:t>, ktorého cieľom</w:t>
      </w:r>
      <w:r w:rsidRPr="002E0274">
        <w:rPr>
          <w:rFonts w:eastAsia="Calibri"/>
          <w:color w:val="000000"/>
          <w:sz w:val="24"/>
          <w:szCs w:val="24"/>
          <w:lang w:eastAsia="en-US"/>
        </w:rPr>
        <w:t xml:space="preserve"> budú drobné zmeny a modifikácie</w:t>
      </w:r>
      <w:r>
        <w:rPr>
          <w:rFonts w:eastAsia="Calibri"/>
          <w:color w:val="000000"/>
          <w:sz w:val="24"/>
          <w:szCs w:val="24"/>
          <w:lang w:eastAsia="en-US"/>
        </w:rPr>
        <w:t xml:space="preserve"> funkcionalít.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F4692C" w:rsidRPr="005C4B9C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Pre nový informačný systém je charakteristická jeho jedinečnosť, systémovosť, pričom tento je svojou podstatou </w:t>
      </w:r>
      <w:r w:rsidR="00C615C4" w:rsidRPr="00F14E8D">
        <w:rPr>
          <w:rFonts w:eastAsia="Calibri"/>
          <w:color w:val="000000"/>
          <w:sz w:val="24"/>
          <w:szCs w:val="24"/>
          <w:lang w:eastAsia="en-US"/>
        </w:rPr>
        <w:t>unikátnym a jedinečným súborom</w:t>
      </w:r>
      <w:r w:rsidRPr="00C615C4">
        <w:rPr>
          <w:rFonts w:eastAsia="Calibri"/>
          <w:i/>
          <w:color w:val="000000"/>
          <w:sz w:val="24"/>
          <w:szCs w:val="24"/>
          <w:lang w:eastAsia="en-US"/>
        </w:rPr>
        <w:t xml:space="preserve"> 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svojich činností, ktoré sa odlišujú od činností rutinných nielen svojím obsahom, ale aj cieľovým zameraním. </w:t>
      </w:r>
    </w:p>
    <w:p w:rsidR="00F4692C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V prípade, ak návrh materiálu obsahuje zmenu existujúceho alebo vytvorenie nového informačného systému verejnej správy, predkladateľ uvedie v analýze použitím písmen „A“ alebo „B“ vrátane kódu a názvu systému podľa MetaIS. </w:t>
      </w:r>
    </w:p>
    <w:p w:rsidR="00F4692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Pod </w:t>
      </w:r>
      <w:r>
        <w:rPr>
          <w:rFonts w:eastAsia="Calibri"/>
          <w:color w:val="000000"/>
          <w:sz w:val="24"/>
          <w:szCs w:val="24"/>
          <w:lang w:eastAsia="en-US"/>
        </w:rPr>
        <w:t>integrovanou infraštruktúrou sa rozumie koordinovane budovaná a prevádzkovaná infraštruktúra, zabezpečujúca prevádzku informačných systémov verejnej správy v centralizovanej architektúre. Infraštruktúra musí byť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dostupná a technologicky </w:t>
      </w:r>
      <w:proofErr w:type="spellStart"/>
      <w:r w:rsidRPr="005C4B9C">
        <w:rPr>
          <w:rFonts w:eastAsia="Calibri"/>
          <w:color w:val="000000"/>
          <w:sz w:val="24"/>
          <w:szCs w:val="24"/>
          <w:lang w:eastAsia="en-US"/>
        </w:rPr>
        <w:t>interoperabilná</w:t>
      </w:r>
      <w:proofErr w:type="spellEnd"/>
      <w:r w:rsidRPr="005C4B9C">
        <w:rPr>
          <w:rFonts w:eastAsia="Calibri"/>
          <w:color w:val="000000"/>
          <w:sz w:val="24"/>
          <w:szCs w:val="24"/>
          <w:lang w:eastAsia="en-US"/>
        </w:rPr>
        <w:t>.</w:t>
      </w:r>
    </w:p>
    <w:p w:rsidR="00F4692C" w:rsidRDefault="00F4692C" w:rsidP="00F4692C">
      <w:pPr>
        <w:autoSpaceDE w:val="0"/>
        <w:autoSpaceDN w:val="0"/>
        <w:adjustRightInd w:val="0"/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V rámci </w:t>
      </w:r>
      <w:r>
        <w:rPr>
          <w:rFonts w:eastAsia="Calibri"/>
          <w:color w:val="000000"/>
          <w:sz w:val="24"/>
          <w:szCs w:val="24"/>
          <w:lang w:eastAsia="en-US"/>
        </w:rPr>
        <w:t xml:space="preserve">analýzy vplyvov na informatizáciu 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sa </w:t>
      </w:r>
      <w:r>
        <w:rPr>
          <w:rFonts w:eastAsia="Calibri"/>
          <w:color w:val="000000"/>
          <w:sz w:val="24"/>
          <w:szCs w:val="24"/>
          <w:lang w:eastAsia="en-US"/>
        </w:rPr>
        <w:t xml:space="preserve">preto 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hodnotí, či </w:t>
      </w:r>
    </w:p>
    <w:p w:rsidR="00F4692C" w:rsidRDefault="00F4692C" w:rsidP="00F4692C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7353A">
        <w:rPr>
          <w:rFonts w:eastAsia="Calibri"/>
          <w:color w:val="000000"/>
          <w:sz w:val="24"/>
          <w:szCs w:val="24"/>
          <w:lang w:eastAsia="en-US"/>
        </w:rPr>
        <w:t xml:space="preserve">budovaný informačný systém verejnej správy bude vyvíjaný a prevádzkovaný vo vládnom </w:t>
      </w:r>
      <w:proofErr w:type="spellStart"/>
      <w:r w:rsidRPr="0067353A">
        <w:rPr>
          <w:rFonts w:eastAsia="Calibri"/>
          <w:color w:val="000000"/>
          <w:sz w:val="24"/>
          <w:szCs w:val="24"/>
          <w:lang w:eastAsia="en-US"/>
        </w:rPr>
        <w:t>cloude</w:t>
      </w:r>
      <w:proofErr w:type="spellEnd"/>
      <w:r w:rsidRPr="0067353A">
        <w:rPr>
          <w:rFonts w:eastAsia="Calibri"/>
          <w:color w:val="000000"/>
          <w:sz w:val="24"/>
          <w:szCs w:val="24"/>
          <w:lang w:eastAsia="en-US"/>
        </w:rPr>
        <w:t xml:space="preserve"> alebo </w:t>
      </w:r>
    </w:p>
    <w:p w:rsidR="00F4692C" w:rsidRPr="003528E0" w:rsidRDefault="00F4692C" w:rsidP="00F4692C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7353A">
        <w:rPr>
          <w:rFonts w:eastAsia="Calibri"/>
          <w:color w:val="000000"/>
          <w:sz w:val="24"/>
          <w:szCs w:val="24"/>
          <w:lang w:eastAsia="en-US"/>
        </w:rPr>
        <w:t xml:space="preserve">inovovaný informačný systém je prevádzkovaný vo vládnom </w:t>
      </w:r>
      <w:proofErr w:type="spellStart"/>
      <w:r w:rsidRPr="0067353A">
        <w:rPr>
          <w:rFonts w:eastAsia="Calibri"/>
          <w:color w:val="000000"/>
          <w:sz w:val="24"/>
          <w:szCs w:val="24"/>
          <w:lang w:eastAsia="en-US"/>
        </w:rPr>
        <w:t>cloude</w:t>
      </w:r>
      <w:proofErr w:type="spellEnd"/>
      <w:r w:rsidRPr="003528E0">
        <w:rPr>
          <w:rFonts w:eastAsia="Calibri"/>
          <w:color w:val="000000"/>
          <w:sz w:val="24"/>
          <w:szCs w:val="24"/>
          <w:lang w:eastAsia="en-US"/>
        </w:rPr>
        <w:t xml:space="preserve">, a ak nie, či bude </w:t>
      </w:r>
      <w:r w:rsidRPr="0067353A">
        <w:rPr>
          <w:rFonts w:eastAsia="Calibri"/>
          <w:color w:val="000000"/>
          <w:sz w:val="24"/>
          <w:szCs w:val="24"/>
          <w:lang w:eastAsia="en-US"/>
        </w:rPr>
        <w:t xml:space="preserve"> migrovaný do vládneho </w:t>
      </w:r>
      <w:proofErr w:type="spellStart"/>
      <w:r w:rsidRPr="0067353A">
        <w:rPr>
          <w:rFonts w:eastAsia="Calibri"/>
          <w:color w:val="000000"/>
          <w:sz w:val="24"/>
          <w:szCs w:val="24"/>
          <w:lang w:eastAsia="en-US"/>
        </w:rPr>
        <w:t>cloudu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F4692C" w:rsidRDefault="00F4692C" w:rsidP="00F4692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4692C" w:rsidRPr="005C4B9C" w:rsidRDefault="00F4692C" w:rsidP="00F4692C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4692C" w:rsidRPr="00F14E8D" w:rsidRDefault="00F4692C" w:rsidP="00F4692C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24"/>
          <w:szCs w:val="24"/>
          <w:lang w:eastAsia="en-US"/>
        </w:rPr>
      </w:pPr>
      <w:r w:rsidRPr="00F14E8D">
        <w:rPr>
          <w:rFonts w:eastAsia="Calibri"/>
          <w:bCs/>
          <w:i/>
          <w:color w:val="000000"/>
          <w:sz w:val="24"/>
          <w:szCs w:val="24"/>
          <w:lang w:eastAsia="en-US"/>
        </w:rPr>
        <w:t xml:space="preserve">Príklad č. </w:t>
      </w:r>
      <w:r w:rsidR="0073701E" w:rsidRPr="00F14E8D">
        <w:rPr>
          <w:rFonts w:eastAsia="Calibri"/>
          <w:bCs/>
          <w:i/>
          <w:color w:val="000000"/>
          <w:sz w:val="24"/>
          <w:szCs w:val="24"/>
          <w:lang w:eastAsia="en-US"/>
        </w:rPr>
        <w:t>1</w:t>
      </w:r>
      <w:r w:rsidRPr="00F14E8D">
        <w:rPr>
          <w:rFonts w:eastAsia="Calibri"/>
          <w:bCs/>
          <w:i/>
          <w:color w:val="000000"/>
          <w:sz w:val="24"/>
          <w:szCs w:val="24"/>
          <w:lang w:eastAsia="en-US"/>
        </w:rPr>
        <w:t>:</w:t>
      </w:r>
    </w:p>
    <w:p w:rsidR="00F4692C" w:rsidRPr="005C4B9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Návrh zákona o verejných zbierkach a o zmene a doplnení niektorých zákonov predpokladá zavedenie </w:t>
      </w:r>
      <w:r w:rsidRPr="0004120D">
        <w:rPr>
          <w:rFonts w:eastAsia="Calibri"/>
          <w:b/>
          <w:color w:val="000000"/>
          <w:sz w:val="24"/>
          <w:szCs w:val="24"/>
          <w:lang w:eastAsia="en-US"/>
        </w:rPr>
        <w:t>nového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04120D">
        <w:rPr>
          <w:rFonts w:eastAsia="Calibri"/>
          <w:b/>
          <w:color w:val="000000"/>
          <w:sz w:val="24"/>
          <w:szCs w:val="24"/>
          <w:lang w:eastAsia="en-US"/>
        </w:rPr>
        <w:t>informačného systému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verejnej správy, ktorým je „Register zbierok“.</w:t>
      </w:r>
      <w:r>
        <w:rPr>
          <w:rFonts w:eastAsia="Calibri"/>
          <w:color w:val="000000"/>
          <w:sz w:val="24"/>
          <w:szCs w:val="24"/>
          <w:lang w:eastAsia="en-US"/>
        </w:rPr>
        <w:t xml:space="preserve"> Nový informačný systém bude vyvíjaný a prevádzkovaný vo vládnom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cloude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Pr="005C4B9C">
        <w:rPr>
          <w:rFonts w:eastAsia="Calibri"/>
          <w:color w:val="000000"/>
          <w:sz w:val="24"/>
          <w:szCs w:val="24"/>
          <w:lang w:eastAsia="en-US"/>
        </w:rPr>
        <w:t>Nový informačný systém musí byť zaevidov</w:t>
      </w:r>
      <w:r>
        <w:rPr>
          <w:rFonts w:eastAsia="Calibri"/>
          <w:color w:val="000000"/>
          <w:sz w:val="24"/>
          <w:szCs w:val="24"/>
          <w:lang w:eastAsia="en-US"/>
        </w:rPr>
        <w:t>aný v MetaIS.</w:t>
      </w:r>
    </w:p>
    <w:p w:rsidR="008C2601" w:rsidRDefault="008C2601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4692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Analýza vplyvov sa v </w:t>
      </w:r>
      <w:r w:rsidRPr="005C4B9C">
        <w:rPr>
          <w:rFonts w:eastAsia="Calibri"/>
          <w:sz w:val="24"/>
          <w:szCs w:val="24"/>
          <w:lang w:eastAsia="en-US"/>
        </w:rPr>
        <w:t xml:space="preserve">bode 6.2. vyplní </w:t>
      </w:r>
      <w:r w:rsidRPr="005C4B9C">
        <w:rPr>
          <w:rFonts w:eastAsia="Calibri"/>
          <w:color w:val="000000"/>
          <w:sz w:val="24"/>
          <w:szCs w:val="24"/>
          <w:lang w:eastAsia="en-US"/>
        </w:rPr>
        <w:t>nasledovne: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134"/>
        <w:gridCol w:w="1134"/>
        <w:gridCol w:w="851"/>
        <w:gridCol w:w="1559"/>
      </w:tblGrid>
      <w:tr w:rsidR="00F4692C" w:rsidRPr="005C4B9C" w:rsidTr="00876D3C">
        <w:trPr>
          <w:trHeight w:val="20"/>
        </w:trPr>
        <w:tc>
          <w:tcPr>
            <w:tcW w:w="5245" w:type="dxa"/>
            <w:shd w:val="clear" w:color="auto" w:fill="C0C0C0"/>
            <w:vAlign w:val="center"/>
          </w:tcPr>
          <w:p w:rsidR="00F4692C" w:rsidRPr="0067353A" w:rsidRDefault="00F4692C" w:rsidP="00876D3C">
            <w:pPr>
              <w:jc w:val="center"/>
              <w:rPr>
                <w:b/>
              </w:rPr>
            </w:pPr>
            <w:r w:rsidRPr="0067353A">
              <w:rPr>
                <w:b/>
              </w:rPr>
              <w:t>Aplikačná a technologická vrstva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A – nový systém</w:t>
            </w:r>
          </w:p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Kód systému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Názov systému</w:t>
            </w:r>
          </w:p>
        </w:tc>
        <w:tc>
          <w:tcPr>
            <w:tcW w:w="1559" w:type="dxa"/>
            <w:shd w:val="clear" w:color="auto" w:fill="C0C0C0"/>
          </w:tcPr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 xml:space="preserve">vo vládnom </w:t>
            </w:r>
            <w:proofErr w:type="spellStart"/>
            <w:r w:rsidRPr="0067353A">
              <w:rPr>
                <w:b/>
              </w:rPr>
              <w:t>cloude</w:t>
            </w:r>
            <w:proofErr w:type="spellEnd"/>
            <w:r w:rsidRPr="0067353A">
              <w:rPr>
                <w:b/>
              </w:rPr>
              <w:t xml:space="preserve"> – áno / nie</w:t>
            </w:r>
          </w:p>
        </w:tc>
      </w:tr>
      <w:tr w:rsidR="00F4692C" w:rsidRPr="005C4B9C" w:rsidTr="00876D3C">
        <w:trPr>
          <w:trHeight w:val="20"/>
        </w:trPr>
        <w:tc>
          <w:tcPr>
            <w:tcW w:w="5245" w:type="dxa"/>
          </w:tcPr>
          <w:p w:rsidR="00F4692C" w:rsidRPr="005C4B9C" w:rsidRDefault="00F4692C" w:rsidP="00876D3C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</w:t>
            </w:r>
            <w:proofErr w:type="spellStart"/>
            <w:r>
              <w:t>cloude</w:t>
            </w:r>
            <w:proofErr w:type="spellEnd"/>
            <w:r>
              <w:t>?</w:t>
            </w:r>
          </w:p>
        </w:tc>
        <w:tc>
          <w:tcPr>
            <w:tcW w:w="1134" w:type="dxa"/>
          </w:tcPr>
          <w:p w:rsidR="00F4692C" w:rsidRPr="0067353A" w:rsidRDefault="00F4692C" w:rsidP="00876D3C">
            <w:r w:rsidRPr="0067353A">
              <w:t>A</w:t>
            </w:r>
          </w:p>
        </w:tc>
        <w:tc>
          <w:tcPr>
            <w:tcW w:w="1134" w:type="dxa"/>
          </w:tcPr>
          <w:p w:rsidR="00F4692C" w:rsidRPr="0067353A" w:rsidRDefault="00F4692C" w:rsidP="00876D3C">
            <w:r w:rsidRPr="0067353A">
              <w:t>isvs_5836</w:t>
            </w:r>
          </w:p>
        </w:tc>
        <w:tc>
          <w:tcPr>
            <w:tcW w:w="851" w:type="dxa"/>
          </w:tcPr>
          <w:p w:rsidR="00F4692C" w:rsidRPr="0067353A" w:rsidRDefault="00F4692C" w:rsidP="00876D3C">
            <w:r w:rsidRPr="0067353A">
              <w:t xml:space="preserve">Register zbierok   </w:t>
            </w:r>
          </w:p>
        </w:tc>
        <w:tc>
          <w:tcPr>
            <w:tcW w:w="1559" w:type="dxa"/>
          </w:tcPr>
          <w:p w:rsidR="00F4692C" w:rsidRPr="0067353A" w:rsidRDefault="00F4692C" w:rsidP="00876D3C">
            <w:r w:rsidRPr="0067353A">
              <w:t>áno</w:t>
            </w:r>
          </w:p>
        </w:tc>
      </w:tr>
    </w:tbl>
    <w:p w:rsidR="00F4692C" w:rsidRPr="005C4B9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4692C" w:rsidRDefault="00F4692C" w:rsidP="00F4692C">
      <w:pPr>
        <w:autoSpaceDE w:val="0"/>
        <w:autoSpaceDN w:val="0"/>
        <w:adjustRightInd w:val="0"/>
        <w:jc w:val="both"/>
        <w:rPr>
          <w:rFonts w:eastAsia="Calibri"/>
          <w:b/>
          <w:i/>
          <w:color w:val="000000"/>
          <w:sz w:val="24"/>
          <w:szCs w:val="24"/>
          <w:u w:val="single"/>
          <w:lang w:eastAsia="en-US"/>
        </w:rPr>
      </w:pPr>
    </w:p>
    <w:p w:rsidR="00F4692C" w:rsidRPr="00F14E8D" w:rsidRDefault="00F4692C" w:rsidP="00F4692C">
      <w:pPr>
        <w:autoSpaceDE w:val="0"/>
        <w:autoSpaceDN w:val="0"/>
        <w:adjustRightInd w:val="0"/>
        <w:jc w:val="both"/>
        <w:rPr>
          <w:rFonts w:eastAsia="Calibri"/>
          <w:bCs/>
          <w:i/>
          <w:color w:val="000000"/>
          <w:sz w:val="24"/>
          <w:szCs w:val="24"/>
          <w:lang w:eastAsia="en-US"/>
        </w:rPr>
      </w:pPr>
      <w:r w:rsidRPr="00F14E8D">
        <w:rPr>
          <w:rFonts w:eastAsia="Calibri"/>
          <w:bCs/>
          <w:i/>
          <w:color w:val="000000"/>
          <w:sz w:val="24"/>
          <w:szCs w:val="24"/>
          <w:lang w:eastAsia="en-US"/>
        </w:rPr>
        <w:t xml:space="preserve">Príklad č. </w:t>
      </w:r>
      <w:r w:rsidR="0073701E" w:rsidRPr="00F14E8D">
        <w:rPr>
          <w:rFonts w:eastAsia="Calibri"/>
          <w:bCs/>
          <w:i/>
          <w:color w:val="000000"/>
          <w:sz w:val="24"/>
          <w:szCs w:val="24"/>
          <w:lang w:eastAsia="en-US"/>
        </w:rPr>
        <w:t>2</w:t>
      </w:r>
      <w:r w:rsidRPr="00F14E8D">
        <w:rPr>
          <w:rFonts w:eastAsia="Calibri"/>
          <w:bCs/>
          <w:i/>
          <w:color w:val="000000"/>
          <w:sz w:val="24"/>
          <w:szCs w:val="24"/>
          <w:lang w:eastAsia="en-US"/>
        </w:rPr>
        <w:t>:</w:t>
      </w:r>
    </w:p>
    <w:p w:rsidR="00F4692C" w:rsidRPr="005C4B9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Návrh zákona o verejných zbierkach a o zmene a doplnení niektorých zákonov mení informačný systém verejnej správy, ktorým je „Register zbierok“. </w:t>
      </w:r>
    </w:p>
    <w:p w:rsidR="00F4692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P</w:t>
      </w:r>
      <w:r w:rsidRPr="005C4B9C">
        <w:rPr>
          <w:rFonts w:eastAsia="Calibri"/>
          <w:color w:val="000000"/>
          <w:sz w:val="24"/>
          <w:szCs w:val="24"/>
          <w:lang w:eastAsia="en-US"/>
        </w:rPr>
        <w:t>lánovaná zmena informačného systému musí byť zaevidovaná v „popise cieľového stavu“ predmetného informačného systému, s výstižným popisom kľúčových vlastností, v MetaIS.</w:t>
      </w:r>
      <w:r>
        <w:rPr>
          <w:rFonts w:eastAsia="Calibri"/>
          <w:color w:val="000000"/>
          <w:sz w:val="24"/>
          <w:szCs w:val="24"/>
          <w:lang w:eastAsia="en-US"/>
        </w:rPr>
        <w:t xml:space="preserve"> Ďalej musí byť uvedené, či bude systém prevádzkovaný vo vládnom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cloude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: </w:t>
      </w:r>
    </w:p>
    <w:p w:rsidR="00F4692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Alt. 1: Existujúci informačný systém bude migrovaný a následne prevádzkovaný vo vládnom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cloude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F4692C" w:rsidRPr="005C4B9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Alt. 2: Existujúci informačný systém je od roku 2017 prevádzkovaný vo vládnom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cloude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8C2601" w:rsidRDefault="008C2601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F4692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Analýza vplyvov sa v </w:t>
      </w:r>
      <w:r w:rsidRPr="005C4B9C">
        <w:rPr>
          <w:rFonts w:eastAsia="Calibri"/>
          <w:sz w:val="24"/>
          <w:szCs w:val="24"/>
          <w:lang w:eastAsia="en-US"/>
        </w:rPr>
        <w:t xml:space="preserve">bode 6.2. vyplní </w:t>
      </w:r>
      <w:r w:rsidRPr="005C4B9C">
        <w:rPr>
          <w:rFonts w:eastAsia="Calibri"/>
          <w:color w:val="000000"/>
          <w:sz w:val="24"/>
          <w:szCs w:val="24"/>
          <w:lang w:eastAsia="en-US"/>
        </w:rPr>
        <w:t>nasledovne: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134"/>
        <w:gridCol w:w="1134"/>
        <w:gridCol w:w="851"/>
        <w:gridCol w:w="2268"/>
      </w:tblGrid>
      <w:tr w:rsidR="00F4692C" w:rsidRPr="005C4B9C" w:rsidTr="00876D3C">
        <w:trPr>
          <w:trHeight w:val="20"/>
        </w:trPr>
        <w:tc>
          <w:tcPr>
            <w:tcW w:w="4536" w:type="dxa"/>
            <w:shd w:val="clear" w:color="auto" w:fill="C0C0C0"/>
            <w:vAlign w:val="center"/>
          </w:tcPr>
          <w:p w:rsidR="00F4692C" w:rsidRPr="0067353A" w:rsidRDefault="00F4692C" w:rsidP="00876D3C">
            <w:pPr>
              <w:jc w:val="center"/>
              <w:rPr>
                <w:b/>
              </w:rPr>
            </w:pPr>
            <w:r w:rsidRPr="0067353A">
              <w:rPr>
                <w:b/>
              </w:rPr>
              <w:t>Aplikačná a technologická vrstva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A – nový systém</w:t>
            </w:r>
          </w:p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Kód systému</w:t>
            </w:r>
          </w:p>
        </w:tc>
        <w:tc>
          <w:tcPr>
            <w:tcW w:w="851" w:type="dxa"/>
            <w:shd w:val="clear" w:color="auto" w:fill="C0C0C0"/>
            <w:vAlign w:val="center"/>
          </w:tcPr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>Názov systému</w:t>
            </w:r>
          </w:p>
        </w:tc>
        <w:tc>
          <w:tcPr>
            <w:tcW w:w="2268" w:type="dxa"/>
            <w:shd w:val="clear" w:color="auto" w:fill="C0C0C0"/>
          </w:tcPr>
          <w:p w:rsidR="00F4692C" w:rsidRPr="0067353A" w:rsidRDefault="00F4692C" w:rsidP="00876D3C">
            <w:pPr>
              <w:rPr>
                <w:b/>
              </w:rPr>
            </w:pPr>
            <w:r w:rsidRPr="0067353A">
              <w:rPr>
                <w:b/>
              </w:rPr>
              <w:t xml:space="preserve">vo vládnom </w:t>
            </w:r>
            <w:proofErr w:type="spellStart"/>
            <w:r w:rsidRPr="0067353A">
              <w:rPr>
                <w:b/>
              </w:rPr>
              <w:t>cloude</w:t>
            </w:r>
            <w:proofErr w:type="spellEnd"/>
            <w:r w:rsidRPr="0067353A">
              <w:rPr>
                <w:b/>
              </w:rPr>
              <w:t xml:space="preserve"> – áno / nie</w:t>
            </w:r>
          </w:p>
        </w:tc>
      </w:tr>
      <w:tr w:rsidR="00F4692C" w:rsidRPr="005C4B9C" w:rsidTr="00876D3C">
        <w:trPr>
          <w:trHeight w:val="445"/>
        </w:trPr>
        <w:tc>
          <w:tcPr>
            <w:tcW w:w="4536" w:type="dxa"/>
          </w:tcPr>
          <w:p w:rsidR="00F4692C" w:rsidRPr="005C4B9C" w:rsidRDefault="00F4692C" w:rsidP="00876D3C">
            <w:pPr>
              <w:rPr>
                <w:sz w:val="24"/>
                <w:szCs w:val="24"/>
              </w:rPr>
            </w:pPr>
            <w:r w:rsidRPr="005C4B9C">
              <w:rPr>
                <w:b/>
              </w:rPr>
              <w:t>6.2.</w:t>
            </w:r>
            <w:r w:rsidRPr="005C4B9C">
              <w:t xml:space="preserve"> Predpokladá predložený návrh zmenu existujúceho alebo vytvorenie nového informačného systému verejnej správy?</w:t>
            </w:r>
            <w:r>
              <w:t xml:space="preserve"> Predpokladá správca umiestnenie informačného systému vo vládnom </w:t>
            </w:r>
            <w:proofErr w:type="spellStart"/>
            <w:r>
              <w:t>cloude</w:t>
            </w:r>
            <w:proofErr w:type="spellEnd"/>
            <w:r>
              <w:t>?</w:t>
            </w:r>
          </w:p>
        </w:tc>
        <w:tc>
          <w:tcPr>
            <w:tcW w:w="1134" w:type="dxa"/>
          </w:tcPr>
          <w:p w:rsidR="00F4692C" w:rsidRPr="006D4285" w:rsidRDefault="00F4692C" w:rsidP="00876D3C">
            <w:r>
              <w:t>B</w:t>
            </w:r>
          </w:p>
        </w:tc>
        <w:tc>
          <w:tcPr>
            <w:tcW w:w="1134" w:type="dxa"/>
          </w:tcPr>
          <w:p w:rsidR="00F4692C" w:rsidRPr="006D4285" w:rsidRDefault="00F4692C" w:rsidP="00876D3C">
            <w:r w:rsidRPr="006D4285">
              <w:t>isvs_5836</w:t>
            </w:r>
          </w:p>
        </w:tc>
        <w:tc>
          <w:tcPr>
            <w:tcW w:w="851" w:type="dxa"/>
          </w:tcPr>
          <w:p w:rsidR="00F4692C" w:rsidRPr="006D4285" w:rsidRDefault="00F4692C" w:rsidP="00876D3C">
            <w:r w:rsidRPr="006D4285">
              <w:t xml:space="preserve">Register zbierok   </w:t>
            </w:r>
          </w:p>
        </w:tc>
        <w:tc>
          <w:tcPr>
            <w:tcW w:w="2268" w:type="dxa"/>
          </w:tcPr>
          <w:p w:rsidR="00F4692C" w:rsidRPr="006D4285" w:rsidRDefault="00F4692C" w:rsidP="00876D3C">
            <w:r>
              <w:t xml:space="preserve">Alt. 1: </w:t>
            </w:r>
            <w:r w:rsidRPr="006D4285">
              <w:t>Áno</w:t>
            </w:r>
            <w:r>
              <w:t xml:space="preserve"> v roku 2019                Alt. 2: </w:t>
            </w:r>
            <w:r w:rsidRPr="006D4285">
              <w:t>Áno</w:t>
            </w:r>
            <w:r>
              <w:t xml:space="preserve"> od roku 2017                </w:t>
            </w:r>
          </w:p>
        </w:tc>
      </w:tr>
    </w:tbl>
    <w:p w:rsidR="00F4692C" w:rsidRDefault="00F4692C" w:rsidP="00F4692C">
      <w:pPr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B124A" w:rsidRPr="00F14E8D" w:rsidRDefault="007B124A" w:rsidP="007B124A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</w:pPr>
      <w:r w:rsidRPr="00F14E8D"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>Financovanie informatizácie spolo</w:t>
      </w:r>
      <w:r w:rsidRPr="00F14E8D">
        <w:rPr>
          <w:rFonts w:eastAsia="Calibri"/>
          <w:color w:val="000000"/>
          <w:sz w:val="24"/>
          <w:szCs w:val="24"/>
          <w:u w:val="single"/>
          <w:lang w:eastAsia="en-US"/>
        </w:rPr>
        <w:t>č</w:t>
      </w:r>
      <w:r w:rsidRPr="00F14E8D">
        <w:rPr>
          <w:rFonts w:eastAsia="Calibri"/>
          <w:b/>
          <w:bCs/>
          <w:color w:val="000000"/>
          <w:sz w:val="24"/>
          <w:szCs w:val="24"/>
          <w:u w:val="single"/>
          <w:lang w:eastAsia="en-US"/>
        </w:rPr>
        <w:t>nosti</w:t>
      </w:r>
    </w:p>
    <w:p w:rsidR="007B124A" w:rsidRPr="005C4B9C" w:rsidRDefault="007B124A" w:rsidP="007B124A">
      <w:pPr>
        <w:autoSpaceDE w:val="0"/>
        <w:autoSpaceDN w:val="0"/>
        <w:adjustRightInd w:val="0"/>
        <w:spacing w:before="2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Proces informatizácie spoločnosti je investične náročný a vyžaduje finančné investície zo strany všetkých subjektov zapojených do tohto procesu. V oblasti financovania procesu informatizácie je nezastupiteľná úloha štátu, ako aj komerčnej sféry. Štát je však v tejto oblasti dôležitý nielen ako subjekt priamo financujúci proces informatizácie, ale taktiež ako subjekt vytvárajúci motivačný a regulačný rámec pre finančnú participáciu komerčnej sféry.</w:t>
      </w:r>
    </w:p>
    <w:p w:rsidR="007B124A" w:rsidRPr="005C4B9C" w:rsidRDefault="007B124A" w:rsidP="007B124A">
      <w:pPr>
        <w:autoSpaceDE w:val="0"/>
        <w:autoSpaceDN w:val="0"/>
        <w:adjustRightInd w:val="0"/>
        <w:spacing w:before="2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Financovanie procesu informatizácie v súčasnosti prebieha na nasledovných úrovniach:</w:t>
      </w:r>
    </w:p>
    <w:p w:rsidR="007B124A" w:rsidRPr="005C4B9C" w:rsidRDefault="007B124A" w:rsidP="007B12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b/>
          <w:color w:val="000000"/>
          <w:sz w:val="24"/>
          <w:szCs w:val="24"/>
          <w:lang w:eastAsia="en-US"/>
        </w:rPr>
        <w:t>rezortná úroveň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– financovanie projektov realizovaných v rámci jednotlivých rezortov a v rámci jednotlivých rozpočtových kapitol,</w:t>
      </w:r>
    </w:p>
    <w:p w:rsidR="007B124A" w:rsidRPr="005C4B9C" w:rsidRDefault="007B124A" w:rsidP="007B12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b/>
          <w:color w:val="000000"/>
          <w:sz w:val="24"/>
          <w:szCs w:val="24"/>
          <w:lang w:eastAsia="en-US"/>
        </w:rPr>
        <w:t>nadrezortná úroveň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– financovanie projektov s nadrezortnou pôsobnosťou. Finančné prostriedky budú rozpočtované v rámci kapitoly ministerstva financií. </w:t>
      </w:r>
    </w:p>
    <w:p w:rsidR="007B124A" w:rsidRPr="005C4B9C" w:rsidRDefault="007B124A" w:rsidP="007B124A">
      <w:pPr>
        <w:autoSpaceDE w:val="0"/>
        <w:autoSpaceDN w:val="0"/>
        <w:adjustRightInd w:val="0"/>
        <w:spacing w:before="24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V rámci rezortnej a nadrezortnej úrovne je možné financovanie:</w:t>
      </w:r>
    </w:p>
    <w:p w:rsidR="007B124A" w:rsidRPr="005C4B9C" w:rsidRDefault="007B124A" w:rsidP="007B12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b/>
          <w:color w:val="000000"/>
          <w:sz w:val="24"/>
          <w:szCs w:val="24"/>
          <w:lang w:eastAsia="en-US"/>
        </w:rPr>
        <w:t>z prostriedkov Európskej únie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– prostredníctvom čerpania štrukturálnych fondov Európskej únie, ako aj prostredníctvom komunitárnych programov (v oblasti vedy a výskumu napr. 7. rámcový program a komunitárne programy v oblasti vzdelávania).</w:t>
      </w:r>
    </w:p>
    <w:p w:rsidR="007B124A" w:rsidRPr="005C4B9C" w:rsidRDefault="007B124A" w:rsidP="007B124A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b/>
          <w:color w:val="000000"/>
          <w:sz w:val="24"/>
          <w:szCs w:val="24"/>
          <w:lang w:eastAsia="en-US"/>
        </w:rPr>
        <w:t>z ďalších zdrojov financovania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– z prostriedkov Európskej investičnej banky, Svetovej banky a pod..</w:t>
      </w:r>
    </w:p>
    <w:p w:rsidR="007B124A" w:rsidRPr="005C4B9C" w:rsidRDefault="007B124A" w:rsidP="007B124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V prípade požiadaviek na čerpanie finančných prostriedkov z uvedených zdrojov na účely informatizácie spoločnosti predkladateľ uvedie v analýze príslušnú úroveň financovania označením kolónky pri rezortnej a nadrezortnej úrovni znakom „</w:t>
      </w:r>
      <w:r w:rsidR="00C54A6F">
        <w:rPr>
          <w:rFonts w:eastAsia="Calibri"/>
          <w:color w:val="000000"/>
          <w:sz w:val="24"/>
          <w:szCs w:val="24"/>
          <w:lang w:eastAsia="en-US"/>
        </w:rPr>
        <w:t>X</w:t>
      </w:r>
      <w:r w:rsidRPr="005C4B9C">
        <w:rPr>
          <w:rFonts w:eastAsia="Calibri"/>
          <w:color w:val="000000"/>
          <w:sz w:val="24"/>
          <w:szCs w:val="24"/>
          <w:lang w:eastAsia="en-US"/>
        </w:rPr>
        <w:t>“ a pri ďalších zdrojo</w:t>
      </w:r>
      <w:r w:rsidR="00C54A6F">
        <w:rPr>
          <w:rFonts w:eastAsia="Calibri"/>
          <w:color w:val="000000"/>
          <w:sz w:val="24"/>
          <w:szCs w:val="24"/>
          <w:lang w:eastAsia="en-US"/>
        </w:rPr>
        <w:t>ch</w:t>
      </w: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financovania použitím písmen „A“ alebo „B“. Kvantifikáciu predpokladaných finančných </w:t>
      </w:r>
      <w:r w:rsidRPr="005C4B9C">
        <w:rPr>
          <w:rFonts w:eastAsia="Calibri"/>
          <w:color w:val="000000"/>
          <w:sz w:val="24"/>
          <w:szCs w:val="24"/>
          <w:lang w:eastAsia="en-US"/>
        </w:rPr>
        <w:lastRenderedPageBreak/>
        <w:t>dôsledkov na účely informatizácie spoločnosti predkladateľ uvedie v analýze vplyvov na rozpočet verejnej správy.</w:t>
      </w:r>
    </w:p>
    <w:p w:rsidR="007B124A" w:rsidRPr="005C4B9C" w:rsidRDefault="007B124A" w:rsidP="007B124A">
      <w:pPr>
        <w:autoSpaceDE w:val="0"/>
        <w:autoSpaceDN w:val="0"/>
        <w:adjustRightInd w:val="0"/>
        <w:spacing w:before="240" w:after="20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5C4B9C">
        <w:rPr>
          <w:rFonts w:eastAsia="Calibri"/>
          <w:i/>
          <w:color w:val="000000"/>
          <w:sz w:val="24"/>
          <w:szCs w:val="24"/>
          <w:lang w:eastAsia="en-US"/>
        </w:rPr>
        <w:t>Príklad č.1:</w:t>
      </w:r>
    </w:p>
    <w:p w:rsidR="007B124A" w:rsidRPr="005C4B9C" w:rsidRDefault="007B124A" w:rsidP="006C6CFF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Návrh zákona o verejných zbierkach a o zmene a doplnení niektorých zákonov zavádza nový informačný systém verejnej správy, ktorý bude financovaný zo štátneho rozpočtu. </w:t>
      </w:r>
    </w:p>
    <w:p w:rsidR="007B124A" w:rsidRPr="005C4B9C" w:rsidRDefault="007B124A" w:rsidP="007B124A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>Analýza vplyvov sa v </w:t>
      </w:r>
      <w:r w:rsidRPr="005C4B9C">
        <w:rPr>
          <w:rFonts w:eastAsia="Calibri"/>
          <w:sz w:val="24"/>
          <w:szCs w:val="24"/>
          <w:lang w:eastAsia="en-US"/>
        </w:rPr>
        <w:t>bode 6.3. vyplní nasledovne</w:t>
      </w:r>
      <w:r w:rsidRPr="005C4B9C">
        <w:rPr>
          <w:rFonts w:eastAsia="Calibri"/>
          <w:color w:val="000000"/>
          <w:sz w:val="24"/>
          <w:szCs w:val="24"/>
          <w:lang w:eastAsia="en-US"/>
        </w:rPr>
        <w:t>: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2409"/>
      </w:tblGrid>
      <w:tr w:rsidR="007B124A" w:rsidRPr="005C4B9C" w:rsidTr="00876D3C">
        <w:trPr>
          <w:trHeight w:val="20"/>
        </w:trPr>
        <w:tc>
          <w:tcPr>
            <w:tcW w:w="908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7B124A" w:rsidRPr="005C4B9C" w:rsidRDefault="007B124A" w:rsidP="00876D3C">
            <w:pPr>
              <w:rPr>
                <w:b/>
                <w:i/>
                <w:iCs/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Financovanie procesu informatizácie</w:t>
            </w:r>
          </w:p>
        </w:tc>
      </w:tr>
      <w:tr w:rsidR="007B124A" w:rsidRPr="005C4B9C" w:rsidTr="00876D3C">
        <w:trPr>
          <w:trHeight w:val="20"/>
        </w:trPr>
        <w:tc>
          <w:tcPr>
            <w:tcW w:w="3956" w:type="dxa"/>
            <w:shd w:val="clear" w:color="auto" w:fill="BFBFBF"/>
          </w:tcPr>
          <w:p w:rsidR="007B124A" w:rsidRPr="005C4B9C" w:rsidRDefault="007B124A" w:rsidP="00876D3C">
            <w:pPr>
              <w:spacing w:line="20" w:lineRule="atLeast"/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BFBFBF"/>
          </w:tcPr>
          <w:p w:rsidR="007B124A" w:rsidRPr="005C4B9C" w:rsidRDefault="007B124A" w:rsidP="00876D3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Rezortná úroveň</w:t>
            </w:r>
          </w:p>
        </w:tc>
        <w:tc>
          <w:tcPr>
            <w:tcW w:w="1560" w:type="dxa"/>
            <w:shd w:val="clear" w:color="auto" w:fill="BFBFBF"/>
          </w:tcPr>
          <w:p w:rsidR="007B124A" w:rsidRPr="005C4B9C" w:rsidRDefault="007B124A" w:rsidP="00876D3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Nadrezortná úroveň</w:t>
            </w:r>
          </w:p>
        </w:tc>
        <w:tc>
          <w:tcPr>
            <w:tcW w:w="2409" w:type="dxa"/>
            <w:shd w:val="clear" w:color="auto" w:fill="BFBFBF"/>
          </w:tcPr>
          <w:p w:rsidR="007B124A" w:rsidRPr="005C4B9C" w:rsidRDefault="007B124A" w:rsidP="00876D3C">
            <w:pPr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A - z prostriedkov EÚ</w:t>
            </w:r>
          </w:p>
          <w:p w:rsidR="007B124A" w:rsidRPr="005C4B9C" w:rsidRDefault="007B124A" w:rsidP="00876D3C">
            <w:pPr>
              <w:rPr>
                <w:b/>
                <w:i/>
                <w:iCs/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B - z ďalších zdrojov financovania</w:t>
            </w:r>
          </w:p>
        </w:tc>
      </w:tr>
      <w:tr w:rsidR="007B124A" w:rsidRPr="005C4B9C" w:rsidTr="00876D3C">
        <w:trPr>
          <w:trHeight w:val="20"/>
        </w:trPr>
        <w:tc>
          <w:tcPr>
            <w:tcW w:w="3956" w:type="dxa"/>
          </w:tcPr>
          <w:p w:rsidR="007B124A" w:rsidRPr="005C4B9C" w:rsidRDefault="007B124A" w:rsidP="00876D3C">
            <w:pPr>
              <w:rPr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6.3.</w:t>
            </w:r>
            <w:r w:rsidRPr="005C4B9C">
              <w:rPr>
                <w:sz w:val="24"/>
                <w:szCs w:val="24"/>
              </w:rPr>
              <w:t xml:space="preserve"> Vyžaduje si proces informatizácie  finančné investície?</w:t>
            </w:r>
          </w:p>
          <w:p w:rsidR="007B124A" w:rsidRPr="005C4B9C" w:rsidRDefault="007B124A" w:rsidP="00876D3C">
            <w:pPr>
              <w:spacing w:line="20" w:lineRule="atLeast"/>
              <w:rPr>
                <w:sz w:val="24"/>
                <w:szCs w:val="24"/>
              </w:rPr>
            </w:pPr>
            <w:r w:rsidRPr="005C4B9C">
              <w:rPr>
                <w:i/>
                <w:iCs/>
                <w:sz w:val="24"/>
                <w:szCs w:val="24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</w:tcPr>
          <w:p w:rsidR="007B124A" w:rsidRPr="005C4B9C" w:rsidRDefault="007B124A" w:rsidP="00876D3C">
            <w:pPr>
              <w:rPr>
                <w:i/>
                <w:iCs/>
                <w:sz w:val="24"/>
                <w:szCs w:val="24"/>
              </w:rPr>
            </w:pPr>
          </w:p>
          <w:p w:rsidR="007B124A" w:rsidRPr="005C4B9C" w:rsidRDefault="007B124A" w:rsidP="00876D3C">
            <w:pPr>
              <w:rPr>
                <w:i/>
                <w:iCs/>
                <w:sz w:val="24"/>
                <w:szCs w:val="24"/>
              </w:rPr>
            </w:pPr>
          </w:p>
          <w:p w:rsidR="007B124A" w:rsidRPr="005C4B9C" w:rsidRDefault="007B124A" w:rsidP="00876D3C">
            <w:pPr>
              <w:jc w:val="center"/>
              <w:rPr>
                <w:b/>
                <w:iCs/>
                <w:sz w:val="24"/>
                <w:szCs w:val="24"/>
              </w:rPr>
            </w:pPr>
            <w:r w:rsidRPr="005C4B9C">
              <w:rPr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7B124A" w:rsidRPr="005C4B9C" w:rsidRDefault="007B124A" w:rsidP="00876D3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B124A" w:rsidRPr="005C4B9C" w:rsidRDefault="007B124A" w:rsidP="00876D3C">
            <w:pPr>
              <w:rPr>
                <w:i/>
                <w:iCs/>
                <w:sz w:val="24"/>
                <w:szCs w:val="24"/>
              </w:rPr>
            </w:pPr>
          </w:p>
          <w:p w:rsidR="007B124A" w:rsidRPr="005C4B9C" w:rsidRDefault="007B124A" w:rsidP="00876D3C">
            <w:pPr>
              <w:rPr>
                <w:i/>
                <w:iCs/>
                <w:sz w:val="24"/>
                <w:szCs w:val="24"/>
              </w:rPr>
            </w:pPr>
          </w:p>
          <w:p w:rsidR="007B124A" w:rsidRPr="005C4B9C" w:rsidRDefault="007B124A" w:rsidP="00876D3C">
            <w:pPr>
              <w:jc w:val="center"/>
              <w:rPr>
                <w:b/>
                <w:iCs/>
                <w:sz w:val="24"/>
                <w:szCs w:val="24"/>
              </w:rPr>
            </w:pPr>
          </w:p>
        </w:tc>
      </w:tr>
    </w:tbl>
    <w:p w:rsidR="008C2601" w:rsidRDefault="008C2601" w:rsidP="007B124A">
      <w:pPr>
        <w:autoSpaceDE w:val="0"/>
        <w:autoSpaceDN w:val="0"/>
        <w:adjustRightInd w:val="0"/>
        <w:spacing w:before="240" w:after="20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</w:p>
    <w:p w:rsidR="007B124A" w:rsidRPr="005C4B9C" w:rsidRDefault="007B124A" w:rsidP="007B124A">
      <w:pPr>
        <w:autoSpaceDE w:val="0"/>
        <w:autoSpaceDN w:val="0"/>
        <w:adjustRightInd w:val="0"/>
        <w:spacing w:before="240" w:after="20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5C4B9C">
        <w:rPr>
          <w:rFonts w:eastAsia="Calibri"/>
          <w:i/>
          <w:color w:val="000000"/>
          <w:sz w:val="24"/>
          <w:szCs w:val="24"/>
          <w:lang w:eastAsia="en-US"/>
        </w:rPr>
        <w:t>Príklad č.2:</w:t>
      </w:r>
    </w:p>
    <w:p w:rsidR="007B124A" w:rsidRPr="005C4B9C" w:rsidRDefault="007B124A" w:rsidP="006C6CFF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Návrh zákona o verejných zbierkach a o zmene a doplnení niektorých zákonov zavádza nový informačný systém verejnej správy, ktorý bude financovaný čiastočne zo štátneho rozpočtu a čiastočne prostredníctvom čerpania štrukturálnych fondov. </w:t>
      </w:r>
    </w:p>
    <w:p w:rsidR="007B124A" w:rsidRPr="005C4B9C" w:rsidRDefault="007B124A" w:rsidP="007B124A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Analýza vplyvov sa </w:t>
      </w:r>
      <w:r w:rsidRPr="005C4B9C">
        <w:rPr>
          <w:rFonts w:eastAsia="Calibri"/>
          <w:sz w:val="24"/>
          <w:szCs w:val="24"/>
          <w:lang w:eastAsia="en-US"/>
        </w:rPr>
        <w:t>v bode 6.3. vyplní nasledovne: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2409"/>
      </w:tblGrid>
      <w:tr w:rsidR="007B124A" w:rsidRPr="005C4B9C" w:rsidTr="00876D3C">
        <w:trPr>
          <w:trHeight w:val="20"/>
        </w:trPr>
        <w:tc>
          <w:tcPr>
            <w:tcW w:w="9087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:rsidR="007B124A" w:rsidRPr="005C4B9C" w:rsidRDefault="007B124A" w:rsidP="00876D3C">
            <w:pPr>
              <w:rPr>
                <w:b/>
                <w:i/>
                <w:iCs/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Financovanie procesu informatizácie</w:t>
            </w:r>
          </w:p>
        </w:tc>
      </w:tr>
      <w:tr w:rsidR="007B124A" w:rsidRPr="005C4B9C" w:rsidTr="00876D3C">
        <w:trPr>
          <w:trHeight w:val="20"/>
        </w:trPr>
        <w:tc>
          <w:tcPr>
            <w:tcW w:w="3956" w:type="dxa"/>
            <w:shd w:val="clear" w:color="auto" w:fill="BFBFBF"/>
          </w:tcPr>
          <w:p w:rsidR="007B124A" w:rsidRPr="005C4B9C" w:rsidRDefault="007B124A" w:rsidP="00876D3C">
            <w:pPr>
              <w:spacing w:line="20" w:lineRule="atLeast"/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BFBFBF"/>
          </w:tcPr>
          <w:p w:rsidR="007B124A" w:rsidRPr="005C4B9C" w:rsidRDefault="007B124A" w:rsidP="00876D3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Rezortná úroveň</w:t>
            </w:r>
          </w:p>
        </w:tc>
        <w:tc>
          <w:tcPr>
            <w:tcW w:w="1560" w:type="dxa"/>
            <w:shd w:val="clear" w:color="auto" w:fill="BFBFBF"/>
          </w:tcPr>
          <w:p w:rsidR="007B124A" w:rsidRPr="005C4B9C" w:rsidRDefault="007B124A" w:rsidP="00876D3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Nadrezortná úroveň</w:t>
            </w:r>
          </w:p>
        </w:tc>
        <w:tc>
          <w:tcPr>
            <w:tcW w:w="2409" w:type="dxa"/>
            <w:shd w:val="clear" w:color="auto" w:fill="BFBFBF"/>
          </w:tcPr>
          <w:p w:rsidR="007B124A" w:rsidRPr="005C4B9C" w:rsidRDefault="007B124A" w:rsidP="00876D3C">
            <w:pPr>
              <w:rPr>
                <w:b/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A - z prostriedkov EÚ</w:t>
            </w:r>
          </w:p>
          <w:p w:rsidR="007B124A" w:rsidRPr="005C4B9C" w:rsidRDefault="007B124A" w:rsidP="00876D3C">
            <w:pPr>
              <w:rPr>
                <w:b/>
                <w:i/>
                <w:iCs/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B - z ďalších zdrojov financovania</w:t>
            </w:r>
          </w:p>
        </w:tc>
      </w:tr>
      <w:tr w:rsidR="007B124A" w:rsidRPr="005C4B9C" w:rsidTr="00876D3C">
        <w:trPr>
          <w:trHeight w:val="20"/>
        </w:trPr>
        <w:tc>
          <w:tcPr>
            <w:tcW w:w="3956" w:type="dxa"/>
          </w:tcPr>
          <w:p w:rsidR="007B124A" w:rsidRPr="005C4B9C" w:rsidRDefault="007B124A" w:rsidP="00876D3C">
            <w:pPr>
              <w:rPr>
                <w:sz w:val="24"/>
                <w:szCs w:val="24"/>
              </w:rPr>
            </w:pPr>
            <w:r w:rsidRPr="005C4B9C">
              <w:rPr>
                <w:b/>
                <w:sz w:val="24"/>
                <w:szCs w:val="24"/>
              </w:rPr>
              <w:t>6.3.</w:t>
            </w:r>
            <w:r w:rsidRPr="005C4B9C">
              <w:rPr>
                <w:sz w:val="24"/>
                <w:szCs w:val="24"/>
              </w:rPr>
              <w:t xml:space="preserve"> Vyžaduje si proces informatizácie  finančné investície?</w:t>
            </w:r>
          </w:p>
          <w:p w:rsidR="007B124A" w:rsidRPr="005C4B9C" w:rsidRDefault="007B124A" w:rsidP="00876D3C">
            <w:pPr>
              <w:spacing w:line="20" w:lineRule="atLeast"/>
              <w:rPr>
                <w:sz w:val="24"/>
                <w:szCs w:val="24"/>
              </w:rPr>
            </w:pPr>
            <w:r w:rsidRPr="005C4B9C">
              <w:rPr>
                <w:i/>
                <w:iCs/>
                <w:sz w:val="24"/>
                <w:szCs w:val="24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</w:tcPr>
          <w:p w:rsidR="007B124A" w:rsidRPr="005C4B9C" w:rsidRDefault="007B124A" w:rsidP="00876D3C">
            <w:pPr>
              <w:rPr>
                <w:i/>
                <w:iCs/>
                <w:sz w:val="24"/>
                <w:szCs w:val="24"/>
              </w:rPr>
            </w:pPr>
          </w:p>
          <w:p w:rsidR="007B124A" w:rsidRPr="005C4B9C" w:rsidRDefault="007B124A" w:rsidP="00876D3C">
            <w:pPr>
              <w:rPr>
                <w:i/>
                <w:iCs/>
                <w:sz w:val="24"/>
                <w:szCs w:val="24"/>
              </w:rPr>
            </w:pPr>
          </w:p>
          <w:p w:rsidR="007B124A" w:rsidRPr="005C4B9C" w:rsidRDefault="007B124A" w:rsidP="00876D3C">
            <w:pPr>
              <w:jc w:val="center"/>
              <w:rPr>
                <w:b/>
                <w:iCs/>
                <w:sz w:val="24"/>
                <w:szCs w:val="24"/>
              </w:rPr>
            </w:pPr>
            <w:r w:rsidRPr="005C4B9C">
              <w:rPr>
                <w:b/>
                <w:iCs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7B124A" w:rsidRPr="005C4B9C" w:rsidRDefault="007B124A" w:rsidP="00876D3C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09" w:type="dxa"/>
          </w:tcPr>
          <w:p w:rsidR="007B124A" w:rsidRPr="005C4B9C" w:rsidRDefault="007B124A" w:rsidP="00876D3C">
            <w:pPr>
              <w:rPr>
                <w:i/>
                <w:iCs/>
                <w:sz w:val="24"/>
                <w:szCs w:val="24"/>
              </w:rPr>
            </w:pPr>
          </w:p>
          <w:p w:rsidR="007B124A" w:rsidRPr="005C4B9C" w:rsidRDefault="007B124A" w:rsidP="00876D3C">
            <w:pPr>
              <w:rPr>
                <w:i/>
                <w:iCs/>
                <w:sz w:val="24"/>
                <w:szCs w:val="24"/>
              </w:rPr>
            </w:pPr>
          </w:p>
          <w:p w:rsidR="007B124A" w:rsidRPr="005C4B9C" w:rsidRDefault="007B124A" w:rsidP="00876D3C">
            <w:pPr>
              <w:jc w:val="center"/>
              <w:rPr>
                <w:b/>
                <w:iCs/>
                <w:sz w:val="24"/>
                <w:szCs w:val="24"/>
              </w:rPr>
            </w:pPr>
            <w:r w:rsidRPr="005C4B9C">
              <w:rPr>
                <w:b/>
                <w:iCs/>
                <w:sz w:val="24"/>
                <w:szCs w:val="24"/>
              </w:rPr>
              <w:t>A</w:t>
            </w:r>
          </w:p>
        </w:tc>
      </w:tr>
    </w:tbl>
    <w:p w:rsidR="007B124A" w:rsidRPr="005C4B9C" w:rsidRDefault="007B124A" w:rsidP="007B124A">
      <w:pPr>
        <w:rPr>
          <w:b/>
          <w:bCs/>
          <w:sz w:val="24"/>
          <w:szCs w:val="24"/>
        </w:rPr>
      </w:pPr>
    </w:p>
    <w:p w:rsidR="00CE634D" w:rsidRDefault="007B124A" w:rsidP="007B124A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5C4B9C">
        <w:rPr>
          <w:rFonts w:eastAsia="Calibri"/>
          <w:color w:val="000000"/>
          <w:sz w:val="24"/>
          <w:szCs w:val="24"/>
          <w:lang w:eastAsia="en-US"/>
        </w:rPr>
        <w:t xml:space="preserve">    </w:t>
      </w:r>
    </w:p>
    <w:p w:rsidR="003F6496" w:rsidRPr="00F14E8D" w:rsidRDefault="003F6496" w:rsidP="003F6496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F14E8D">
        <w:rPr>
          <w:rFonts w:eastAsia="Calibri"/>
          <w:b/>
          <w:color w:val="000000"/>
          <w:sz w:val="26"/>
          <w:szCs w:val="26"/>
          <w:lang w:eastAsia="en-US"/>
        </w:rPr>
        <w:t>Zjednodušenie prístupu ku konaniu a odstraňovanie byrokracie</w:t>
      </w:r>
    </w:p>
    <w:p w:rsidR="003F6496" w:rsidRDefault="003F6496" w:rsidP="003F649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3F6496" w:rsidRPr="00F14E8D" w:rsidRDefault="003F6496" w:rsidP="00F14E8D">
      <w:pPr>
        <w:spacing w:after="200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F14E8D">
        <w:rPr>
          <w:rFonts w:eastAsia="Calibri"/>
          <w:b/>
          <w:bCs/>
          <w:color w:val="000000"/>
          <w:sz w:val="24"/>
          <w:szCs w:val="24"/>
          <w:lang w:eastAsia="en-US"/>
        </w:rPr>
        <w:t>Elektronické konanie</w:t>
      </w:r>
    </w:p>
    <w:p w:rsidR="003F6496" w:rsidRPr="00F14E8D" w:rsidRDefault="003F6496" w:rsidP="00F14E8D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14E8D">
        <w:rPr>
          <w:rFonts w:eastAsia="Calibri"/>
          <w:color w:val="000000"/>
          <w:sz w:val="24"/>
          <w:szCs w:val="24"/>
          <w:lang w:eastAsia="en-US"/>
        </w:rPr>
        <w:t>Povinnosť vykonávať verejnú moc elektronicky vo všeobecnosti platí od 1. novembra 2013, resp. po uplynutí prechodného obdobia od 1. novembra 2016, s výnimkami podľa § 17 ods. 1 písm. a) až c) zákona o e-Governmente.</w:t>
      </w:r>
    </w:p>
    <w:p w:rsidR="003F6496" w:rsidRDefault="003F6496" w:rsidP="00505CB8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14E8D">
        <w:rPr>
          <w:rFonts w:eastAsia="Calibri"/>
          <w:color w:val="000000"/>
          <w:sz w:val="24"/>
          <w:szCs w:val="24"/>
          <w:lang w:eastAsia="en-US"/>
        </w:rPr>
        <w:lastRenderedPageBreak/>
        <w:t>Z vecnej pôsobnosti zákona o e-Governmente vyplýva, že sa vzťahuje na výkon verejnej moci, teda na prípady, kedy sa rozhoduje o, zjednodušene, konkrétnych právach a povinnostiach fyzických osôb alebo právnických osôb. Inými slovami, je obmedzen</w:t>
      </w:r>
      <w:r w:rsidR="00505CB8" w:rsidRPr="00F14E8D">
        <w:rPr>
          <w:rFonts w:eastAsia="Calibri"/>
          <w:color w:val="000000"/>
          <w:sz w:val="24"/>
          <w:szCs w:val="24"/>
          <w:lang w:eastAsia="en-US"/>
        </w:rPr>
        <w:t>á</w:t>
      </w:r>
      <w:r w:rsidRPr="00F14E8D">
        <w:rPr>
          <w:rFonts w:eastAsia="Calibri"/>
          <w:color w:val="000000"/>
          <w:sz w:val="24"/>
          <w:szCs w:val="24"/>
          <w:lang w:eastAsia="en-US"/>
        </w:rPr>
        <w:t xml:space="preserve"> na konania, ktorých výsledkom je rozhodnutie ako individuálny právny akt a nevzťahuje sa na akýkoľvek výkon právomocí orgánov verejnej moci podľa osobitných zákonov. Na ilustráciu tohto rozdielu je možné použiť napríklad konania podľa Stavebného zákona, v ktorých obec vystupuje ako stavebný úrad. V rámci územného plánovania obec vykonáva rôzne činnosti a konania, ktorých výsledkom sú územnoplánovacie podklady a územnoplánovacia dokumentácia (napr. urbanistická štúdia či územný plán obce), avšak vzhľadom na typ týchto konaní a povahu ich výsledku nejde o konanie o právach, či povinnostiach konkrétnych osôb. Naopak, ak ide napríklad o výsledky územného konania, povedzme rozhodnutie o umiestnení stavby či rozhodnutie o stavebnej uzávere, tu ide o také konanie, </w:t>
      </w:r>
      <w:r w:rsidR="00505CB8" w:rsidRPr="00F14E8D">
        <w:rPr>
          <w:rFonts w:eastAsia="Calibri"/>
          <w:color w:val="000000"/>
          <w:sz w:val="24"/>
          <w:szCs w:val="24"/>
          <w:lang w:eastAsia="en-US"/>
        </w:rPr>
        <w:t>ktorého</w:t>
      </w:r>
      <w:r w:rsidRPr="00F14E8D">
        <w:rPr>
          <w:rFonts w:eastAsia="Calibri"/>
          <w:color w:val="000000"/>
          <w:sz w:val="24"/>
          <w:szCs w:val="24"/>
          <w:lang w:eastAsia="en-US"/>
        </w:rPr>
        <w:t xml:space="preserve"> výsledkom je individuálny právny akt, ktorý priamo zakladá práva, či ukladá povinnosti konkrétnej osobe.</w:t>
      </w:r>
    </w:p>
    <w:p w:rsidR="00505CB8" w:rsidRDefault="00505CB8" w:rsidP="00505CB8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Z pohľadu podporovania informatizácie je dôležité, aby najmä v prípadoch, kedy štát koná a ukladá občanom a podnikateľom povinnosti, resp. občania a podnikatelia si uplatňujú svoje práva, bolo občanom a podnikateľom umožnené začať a dokončiť celé konanie elektronicky, prostredníctvom elektronického podania, elektronickej komunikácie a prijatím elektronického rozhodnutia vo veci samej.</w:t>
      </w:r>
    </w:p>
    <w:p w:rsidR="00505CB8" w:rsidRDefault="00876D3C" w:rsidP="00505CB8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Zákon o e-Governmente </w:t>
      </w:r>
      <w:r w:rsidR="00810743">
        <w:rPr>
          <w:rFonts w:eastAsia="Calibri"/>
          <w:color w:val="000000"/>
          <w:sz w:val="24"/>
          <w:szCs w:val="24"/>
          <w:lang w:eastAsia="en-US"/>
        </w:rPr>
        <w:t xml:space="preserve">upravuje základné inštitúty, ktoré sú v konaniach použiteľné na to, aby mohlo konanie prebehnúť elektronicky. Sú nimi prístupové miesta, elektronické podanie a elektronický úradný dokument, na realizáciu elektronickej komunikácie, elektronická schránka na doručovanie, nástroje na autentifikáciu a autorizáciu, spoločné moduly na zabezpečenie súvisiacich činností, ako aj zaručená konverzia na zabezpečenie možnosti transformácie dokumentu do elektronickej podoby a referenčné registre na získavanie relevantných údajov. </w:t>
      </w:r>
      <w:r w:rsidR="00A67CE8">
        <w:rPr>
          <w:rFonts w:eastAsia="Calibri"/>
          <w:color w:val="000000"/>
          <w:sz w:val="24"/>
          <w:szCs w:val="24"/>
          <w:lang w:eastAsia="en-US"/>
        </w:rPr>
        <w:t>Využitie týchto inštitútov slúži nielen na zabezpečenie elektronickej podoby konania, ale aj na zjednotenie jeho priebehu. Inými slovami, je dôležitá nielen dostupnosť nástrojov pre občana a podnikateľa, ale aj dobrá orientácia v nich a zabezpečenie toho, aby v komunikácii so štátom vždy vedel, ktorý nástroj, resp. inštitút môže použiť a kde je mu dostupný.</w:t>
      </w:r>
    </w:p>
    <w:p w:rsidR="00A67CE8" w:rsidRPr="00F14E8D" w:rsidRDefault="009D751A" w:rsidP="00F14E8D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V tejto časti sa hodnotí rozsah elektronizácie konania (celé konanie, niektoré časti) a jednotlivé inštitúty a postupy, ktoré sa na elektronické konanie využívajú. </w:t>
      </w:r>
      <w:r w:rsidR="00A67CE8">
        <w:rPr>
          <w:rFonts w:eastAsia="Calibri"/>
          <w:color w:val="000000"/>
          <w:sz w:val="24"/>
          <w:szCs w:val="24"/>
          <w:lang w:eastAsia="en-US"/>
        </w:rPr>
        <w:t>Pozitívnym vplyvom na informatizáciu sa v prípadoch elektronických konaní rozumie v prvom rade stav, kedy je konanie možné začať a dokončiť elektronicky. Nahradenie inštitútov a postupov podľa zákona o e-Governmente inými inštitútmi a</w:t>
      </w:r>
      <w:r w:rsidR="001243B7">
        <w:rPr>
          <w:rFonts w:eastAsia="Calibri"/>
          <w:color w:val="000000"/>
          <w:sz w:val="24"/>
          <w:szCs w:val="24"/>
          <w:lang w:eastAsia="en-US"/>
        </w:rPr>
        <w:t> </w:t>
      </w:r>
      <w:r w:rsidR="00A67CE8">
        <w:rPr>
          <w:rFonts w:eastAsia="Calibri"/>
          <w:color w:val="000000"/>
          <w:sz w:val="24"/>
          <w:szCs w:val="24"/>
          <w:lang w:eastAsia="en-US"/>
        </w:rPr>
        <w:t>postupmi</w:t>
      </w:r>
      <w:r w:rsidR="001243B7">
        <w:rPr>
          <w:rFonts w:eastAsia="Calibri"/>
          <w:color w:val="000000"/>
          <w:sz w:val="24"/>
          <w:szCs w:val="24"/>
          <w:lang w:eastAsia="en-US"/>
        </w:rPr>
        <w:t xml:space="preserve"> je možné akceptovať len ak to zákon pripúšťa, neznižuje sa tým úroveň dostupnosti a kvality pre občana a podnikateľa a existuje na to relevantný dôvod, spočívajúci v osobitosti daného konania.</w:t>
      </w:r>
    </w:p>
    <w:p w:rsidR="003F6496" w:rsidRDefault="003F6496" w:rsidP="00505CB8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1243B7" w:rsidRDefault="001243B7" w:rsidP="00505CB8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14E8D">
        <w:rPr>
          <w:rFonts w:eastAsia="Calibri"/>
          <w:i/>
          <w:iCs/>
          <w:color w:val="000000"/>
          <w:sz w:val="24"/>
          <w:szCs w:val="24"/>
          <w:lang w:eastAsia="en-US"/>
        </w:rPr>
        <w:t>Príklad č. 1</w:t>
      </w:r>
      <w:r>
        <w:rPr>
          <w:rFonts w:eastAsia="Calibri"/>
          <w:color w:val="000000"/>
          <w:sz w:val="24"/>
          <w:szCs w:val="24"/>
          <w:lang w:eastAsia="en-US"/>
        </w:rPr>
        <w:t>:</w:t>
      </w:r>
    </w:p>
    <w:p w:rsidR="001243B7" w:rsidRDefault="00673118" w:rsidP="00505CB8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Novela Správneho poriadku (zákon č. 238/2017 Z.z.) zaviedla niektoré zmeny v podaní, rozhodnutí a doručovaní. Vo vzťahu k podaniu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o.i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. zjednotila pojmy podľa Správneho poriadku s pojmami podľa zákona o e-Governmente, v elektronickej podobe podania a rozhodnutia zaviedla inštitút autorizácie podľa tohto zákona a v elektronickom doručovaní v plnej miere odkázala na zákon o e-Governmente. Vykonané zmeny teda viedli k zjednoteniu inštitútov Správneho poriadku so zákonom o e-Governmente pri zachovaní možnosti vykonania konania v celku elektronicky. </w:t>
      </w:r>
    </w:p>
    <w:p w:rsidR="00673118" w:rsidRPr="00F14E8D" w:rsidRDefault="00673118" w:rsidP="00F14E8D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>Analýza vplyvov v časti 6.4 sa vyplní nasledovne: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3969"/>
      </w:tblGrid>
      <w:tr w:rsidR="003F6496" w:rsidRPr="00F4692C" w:rsidTr="00876D3C">
        <w:trPr>
          <w:trHeight w:val="20"/>
        </w:trPr>
        <w:tc>
          <w:tcPr>
            <w:tcW w:w="9371" w:type="dxa"/>
            <w:gridSpan w:val="3"/>
            <w:shd w:val="pct25" w:color="auto" w:fill="auto"/>
          </w:tcPr>
          <w:p w:rsidR="003F6496" w:rsidRPr="00F4692C" w:rsidRDefault="003F6496" w:rsidP="00876D3C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3F6496" w:rsidRPr="005C4B9C" w:rsidTr="00876D3C">
        <w:trPr>
          <w:trHeight w:val="20"/>
        </w:trPr>
        <w:tc>
          <w:tcPr>
            <w:tcW w:w="3956" w:type="dxa"/>
          </w:tcPr>
          <w:p w:rsidR="003F6496" w:rsidRPr="005C4B9C" w:rsidRDefault="003F6496" w:rsidP="00876D3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F6496" w:rsidRPr="00F04CCD" w:rsidTr="00876D3C">
              <w:sdt>
                <w:sdtPr>
                  <w:id w:val="-25058739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3F6496" w:rsidRPr="00F04CCD" w:rsidRDefault="00673118" w:rsidP="00876D3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F6496" w:rsidRPr="00F04CCD" w:rsidRDefault="003F6496" w:rsidP="00876D3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3F6496" w:rsidRPr="00F04CCD" w:rsidTr="00876D3C">
              <w:sdt>
                <w:sdtPr>
                  <w:id w:val="7116220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3F6496" w:rsidRPr="00F04CCD" w:rsidRDefault="003F6496" w:rsidP="00876D3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F6496" w:rsidRPr="00F04CCD" w:rsidRDefault="003F6496" w:rsidP="00876D3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3F6496" w:rsidRPr="00FA16FE" w:rsidRDefault="003F6496" w:rsidP="00876D3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F6496" w:rsidRPr="00F14E8D" w:rsidRDefault="00673118" w:rsidP="00876D3C">
            <w:pPr>
              <w:rPr>
                <w:lang w:eastAsia="en-US"/>
              </w:rPr>
            </w:pPr>
            <w:r>
              <w:rPr>
                <w:szCs w:val="22"/>
              </w:rPr>
              <w:t>Kódexový p</w:t>
            </w:r>
            <w:r w:rsidRPr="00F14E8D">
              <w:rPr>
                <w:szCs w:val="22"/>
              </w:rPr>
              <w:t>rocesný predpis, upravujúci pravidlá pre konanie, v ktorom v oblasti verejnej správy správne orgány rozhodujú o právach, právom chránených záujmoch alebo povinnostiach fyzických osôb a právnických osôb.</w:t>
            </w:r>
          </w:p>
        </w:tc>
      </w:tr>
      <w:tr w:rsidR="003F6496" w:rsidRPr="005C4B9C" w:rsidTr="00876D3C">
        <w:trPr>
          <w:trHeight w:val="20"/>
        </w:trPr>
        <w:tc>
          <w:tcPr>
            <w:tcW w:w="3956" w:type="dxa"/>
          </w:tcPr>
          <w:p w:rsidR="003F6496" w:rsidRPr="005C4B9C" w:rsidRDefault="003F6496" w:rsidP="00876D3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F6496" w:rsidRPr="00F04CCD" w:rsidTr="00876D3C">
              <w:sdt>
                <w:sdtPr>
                  <w:id w:val="115279437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3F6496" w:rsidRPr="00F04CCD" w:rsidRDefault="00673118" w:rsidP="00876D3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F6496" w:rsidRPr="00F04CCD" w:rsidRDefault="003F6496" w:rsidP="00876D3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3F6496" w:rsidRPr="00F04CCD" w:rsidTr="00876D3C">
              <w:sdt>
                <w:sdtPr>
                  <w:id w:val="19522023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3F6496" w:rsidRPr="00F04CCD" w:rsidRDefault="003F6496" w:rsidP="00876D3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F6496" w:rsidRPr="00F04CCD" w:rsidRDefault="003F6496" w:rsidP="00876D3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3F6496" w:rsidRPr="00FA16FE" w:rsidRDefault="003F6496" w:rsidP="00876D3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F6496" w:rsidRPr="005C4B9C" w:rsidRDefault="003F6496" w:rsidP="00876D3C">
            <w:pPr>
              <w:rPr>
                <w:i/>
                <w:iCs/>
                <w:sz w:val="24"/>
                <w:szCs w:val="24"/>
              </w:rPr>
            </w:pPr>
          </w:p>
        </w:tc>
      </w:tr>
      <w:tr w:rsidR="003F6496" w:rsidRPr="005C4B9C" w:rsidTr="00876D3C">
        <w:trPr>
          <w:trHeight w:val="20"/>
        </w:trPr>
        <w:tc>
          <w:tcPr>
            <w:tcW w:w="3956" w:type="dxa"/>
          </w:tcPr>
          <w:p w:rsidR="003F6496" w:rsidRPr="005C4B9C" w:rsidRDefault="003F6496" w:rsidP="00876D3C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3F6496" w:rsidRPr="00F04CCD" w:rsidTr="00876D3C">
              <w:sdt>
                <w:sdtPr>
                  <w:id w:val="-188077344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3F6496" w:rsidRPr="00F04CCD" w:rsidRDefault="00673118" w:rsidP="00876D3C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F6496" w:rsidRPr="00F04CCD" w:rsidRDefault="003F6496" w:rsidP="00876D3C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3F6496" w:rsidRPr="00F04CCD" w:rsidTr="00876D3C">
              <w:sdt>
                <w:sdtPr>
                  <w:id w:val="19875079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3F6496" w:rsidRPr="00F04CCD" w:rsidRDefault="003F6496" w:rsidP="00876D3C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3F6496" w:rsidRPr="00F04CCD" w:rsidRDefault="003F6496" w:rsidP="00876D3C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3F6496" w:rsidRPr="00FA16FE" w:rsidRDefault="003F6496" w:rsidP="00876D3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F6496" w:rsidRPr="005C4B9C" w:rsidRDefault="003F6496" w:rsidP="00876D3C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3F6496" w:rsidRDefault="003F6496" w:rsidP="007B124A">
      <w:pPr>
        <w:spacing w:after="200"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AA3832" w:rsidRDefault="00AA3832" w:rsidP="00AA3832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E754E"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Príklad č. </w:t>
      </w:r>
      <w:r>
        <w:rPr>
          <w:rFonts w:eastAsia="Calibri"/>
          <w:i/>
          <w:iCs/>
          <w:color w:val="000000"/>
          <w:sz w:val="24"/>
          <w:szCs w:val="24"/>
          <w:lang w:eastAsia="en-US"/>
        </w:rPr>
        <w:t>2</w:t>
      </w:r>
      <w:r>
        <w:rPr>
          <w:rFonts w:eastAsia="Calibri"/>
          <w:color w:val="000000"/>
          <w:sz w:val="24"/>
          <w:szCs w:val="24"/>
          <w:lang w:eastAsia="en-US"/>
        </w:rPr>
        <w:t>:</w:t>
      </w:r>
    </w:p>
    <w:p w:rsidR="00AA3832" w:rsidRPr="00F14E8D" w:rsidRDefault="00AA3832" w:rsidP="00F14E8D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Novela Daňového poriadku (zákon č. 267/2017 Z.z.) zaviedla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o.i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. osobitnú úpravu pre podávanie podaní, ktoré má zákonom predpísanú štruktúrovanú formu (§ 13 ods. 5). Pre tieto podania sa upravuje len </w:t>
      </w:r>
      <w:r w:rsidRPr="00F14E8D">
        <w:rPr>
          <w:rFonts w:eastAsia="Calibri"/>
          <w:color w:val="000000"/>
          <w:sz w:val="24"/>
          <w:szCs w:val="24"/>
          <w:lang w:eastAsia="en-US"/>
        </w:rPr>
        <w:t>možnosť podať ich prostredníctvom elektronickej podateľne podľa </w:t>
      </w:r>
      <w:hyperlink r:id="rId9" w:anchor="paragraf-33.odsek-2" w:tooltip="Odkaz na predpis alebo ustanovenie" w:history="1">
        <w:r w:rsidRPr="00F14E8D">
          <w:rPr>
            <w:rFonts w:eastAsia="Calibri"/>
            <w:color w:val="000000"/>
            <w:sz w:val="24"/>
            <w:szCs w:val="24"/>
            <w:lang w:eastAsia="en-US"/>
          </w:rPr>
          <w:t>§ 33 ods. 2</w:t>
        </w:r>
      </w:hyperlink>
      <w:r w:rsidRPr="00F14E8D">
        <w:rPr>
          <w:rFonts w:eastAsia="Calibri"/>
          <w:color w:val="000000"/>
          <w:sz w:val="24"/>
          <w:szCs w:val="24"/>
          <w:lang w:eastAsia="en-US"/>
        </w:rPr>
        <w:t> Daňového poriadku cez určené dátové rozhranie a v súlade s podmienkami a podrobnosťami o elektronickej komunikácii zverejnenými na webovom sídle finančného riaditeľstva – teda nie aj cez ústredný portál verejnej správy.</w:t>
      </w:r>
    </w:p>
    <w:p w:rsidR="00AA3832" w:rsidRDefault="00AA3832" w:rsidP="00AA3832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Ak posudzujeme len túto zmenu, tak platí, že dané konanie je možné uskutočniť v celku elektronicky, avšak niektoré inštitúty zákona o e-Governmente (ústredný portál verejnej správy ako prístupové miesto) sú na účely podania vylúčené. </w:t>
      </w:r>
    </w:p>
    <w:p w:rsidR="00AA3832" w:rsidRPr="001E754E" w:rsidRDefault="00AA3832" w:rsidP="00AA3832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Analýza vplyvov v časti 6.4 sa vyplní nasledovne: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3969"/>
      </w:tblGrid>
      <w:tr w:rsidR="00AA3832" w:rsidRPr="00F4692C" w:rsidTr="00036E5D">
        <w:trPr>
          <w:trHeight w:val="20"/>
        </w:trPr>
        <w:tc>
          <w:tcPr>
            <w:tcW w:w="9371" w:type="dxa"/>
            <w:gridSpan w:val="3"/>
            <w:shd w:val="pct25" w:color="auto" w:fill="auto"/>
          </w:tcPr>
          <w:p w:rsidR="00AA3832" w:rsidRPr="00F4692C" w:rsidRDefault="00AA3832" w:rsidP="00036E5D">
            <w:pPr>
              <w:spacing w:line="20" w:lineRule="atLeast"/>
              <w:ind w:hanging="55"/>
              <w:jc w:val="center"/>
              <w:rPr>
                <w:b/>
              </w:rPr>
            </w:pPr>
            <w:r>
              <w:rPr>
                <w:b/>
              </w:rPr>
              <w:t>Elektronické konanie</w:t>
            </w:r>
          </w:p>
        </w:tc>
      </w:tr>
      <w:tr w:rsidR="00AA3832" w:rsidRPr="005C4B9C" w:rsidTr="00036E5D">
        <w:trPr>
          <w:trHeight w:val="20"/>
        </w:trPr>
        <w:tc>
          <w:tcPr>
            <w:tcW w:w="3956" w:type="dxa"/>
          </w:tcPr>
          <w:p w:rsidR="00AA3832" w:rsidRPr="005C4B9C" w:rsidRDefault="00AA3832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6.4.1. </w:t>
            </w:r>
            <w:r w:rsidRPr="00FA16FE">
              <w:rPr>
                <w:szCs w:val="22"/>
              </w:rPr>
              <w:t xml:space="preserve">Predpokladá predložený návrh </w:t>
            </w:r>
            <w:r>
              <w:rPr>
                <w:szCs w:val="22"/>
              </w:rPr>
              <w:t>vedenie konania o právach, právom chránených záujmoch alebo povinnostiach fyzických osôb a právnických osôb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3832" w:rsidRPr="00F04CCD" w:rsidTr="00036E5D">
              <w:sdt>
                <w:sdtPr>
                  <w:id w:val="-12286081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A3832" w:rsidRPr="00F04CCD" w:rsidRDefault="00AA3832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A3832" w:rsidRPr="00F04CCD" w:rsidRDefault="00AA3832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3832" w:rsidRPr="00F04CCD" w:rsidTr="00036E5D">
              <w:sdt>
                <w:sdtPr>
                  <w:id w:val="1134523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A3832" w:rsidRPr="00F04CCD" w:rsidRDefault="00AA3832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A3832" w:rsidRPr="00F04CCD" w:rsidRDefault="00AA3832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A3832" w:rsidRPr="00FA16FE" w:rsidRDefault="00AA3832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3832" w:rsidRPr="001E754E" w:rsidRDefault="008438FF" w:rsidP="00036E5D">
            <w:pPr>
              <w:rPr>
                <w:lang w:eastAsia="en-US"/>
              </w:rPr>
            </w:pPr>
            <w:r>
              <w:rPr>
                <w:szCs w:val="22"/>
              </w:rPr>
              <w:t>P</w:t>
            </w:r>
            <w:r w:rsidR="00AA3832" w:rsidRPr="001E754E">
              <w:rPr>
                <w:szCs w:val="22"/>
              </w:rPr>
              <w:t>rocesný predpis, upravujúci pravidlá pre konanie</w:t>
            </w:r>
            <w:r>
              <w:rPr>
                <w:szCs w:val="22"/>
              </w:rPr>
              <w:t xml:space="preserve"> v oblasti správy daní</w:t>
            </w:r>
            <w:r w:rsidR="00AA3832" w:rsidRPr="001E754E">
              <w:rPr>
                <w:szCs w:val="22"/>
              </w:rPr>
              <w:t>.</w:t>
            </w:r>
          </w:p>
        </w:tc>
      </w:tr>
      <w:tr w:rsidR="00AA3832" w:rsidRPr="005C4B9C" w:rsidTr="00036E5D">
        <w:trPr>
          <w:trHeight w:val="20"/>
        </w:trPr>
        <w:tc>
          <w:tcPr>
            <w:tcW w:w="3956" w:type="dxa"/>
          </w:tcPr>
          <w:p w:rsidR="00AA3832" w:rsidRPr="005C4B9C" w:rsidRDefault="00AA3832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6.4.2. </w:t>
            </w:r>
            <w:r>
              <w:rPr>
                <w:szCs w:val="22"/>
              </w:rPr>
              <w:t>Je dané konanie možné v celku vykonať elektronicky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3832" w:rsidRPr="00F04CCD" w:rsidTr="00036E5D">
              <w:sdt>
                <w:sdtPr>
                  <w:id w:val="173018944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A3832" w:rsidRPr="00F04CCD" w:rsidRDefault="00AA3832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A3832" w:rsidRPr="00F04CCD" w:rsidRDefault="00AA3832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3832" w:rsidRPr="00F04CCD" w:rsidTr="00036E5D">
              <w:sdt>
                <w:sdtPr>
                  <w:id w:val="20084012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A3832" w:rsidRPr="00F04CCD" w:rsidRDefault="00AA3832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A3832" w:rsidRPr="00F04CCD" w:rsidRDefault="00AA3832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A3832" w:rsidRPr="00FA16FE" w:rsidRDefault="00AA3832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3832" w:rsidRPr="005C4B9C" w:rsidRDefault="00AA3832" w:rsidP="00036E5D">
            <w:pPr>
              <w:rPr>
                <w:i/>
                <w:iCs/>
                <w:sz w:val="24"/>
                <w:szCs w:val="24"/>
              </w:rPr>
            </w:pPr>
          </w:p>
        </w:tc>
      </w:tr>
      <w:tr w:rsidR="00AA3832" w:rsidRPr="005C4B9C" w:rsidTr="00036E5D">
        <w:trPr>
          <w:trHeight w:val="20"/>
        </w:trPr>
        <w:tc>
          <w:tcPr>
            <w:tcW w:w="3956" w:type="dxa"/>
          </w:tcPr>
          <w:p w:rsidR="00AA3832" w:rsidRPr="005C4B9C" w:rsidRDefault="00AA3832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6.4.3. </w:t>
            </w:r>
            <w:r>
              <w:rPr>
                <w:szCs w:val="22"/>
              </w:rPr>
              <w:t>Je úprava konania kompatibilná s inštitútmi zákona o e-Governmente a je na dané konanie zákon o e-Governmente možné použiť?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AA3832" w:rsidRPr="00F04CCD" w:rsidTr="00036E5D">
              <w:sdt>
                <w:sdtPr>
                  <w:id w:val="1044723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A3832" w:rsidRPr="00F04CCD" w:rsidRDefault="008438FF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A3832" w:rsidRPr="00F04CCD" w:rsidRDefault="00AA3832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AA3832" w:rsidRPr="00F04CCD" w:rsidTr="00036E5D">
              <w:sdt>
                <w:sdtPr>
                  <w:id w:val="7780500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AA3832" w:rsidRPr="00F04CCD" w:rsidRDefault="008438FF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AA3832" w:rsidRPr="00F04CCD" w:rsidRDefault="00AA3832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AA3832" w:rsidRPr="00FA16FE" w:rsidRDefault="00AA3832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A3832" w:rsidRPr="00F14E8D" w:rsidRDefault="008438FF" w:rsidP="00036E5D">
            <w:pPr>
              <w:rPr>
                <w:sz w:val="24"/>
                <w:szCs w:val="24"/>
              </w:rPr>
            </w:pPr>
            <w:r w:rsidRPr="008438FF">
              <w:rPr>
                <w:szCs w:val="22"/>
              </w:rPr>
              <w:t>Štruktúrované</w:t>
            </w:r>
            <w:r w:rsidRPr="00F14E8D">
              <w:rPr>
                <w:szCs w:val="22"/>
              </w:rPr>
              <w:t xml:space="preserve"> podania </w:t>
            </w:r>
            <w:r w:rsidR="00434278">
              <w:rPr>
                <w:szCs w:val="22"/>
              </w:rPr>
              <w:t xml:space="preserve">podľa § 13 ods. 5 </w:t>
            </w:r>
            <w:r w:rsidRPr="00F14E8D">
              <w:rPr>
                <w:szCs w:val="22"/>
              </w:rPr>
              <w:t>je možné podať len prostredníctvom prístupového miesta</w:t>
            </w:r>
            <w:r>
              <w:rPr>
                <w:szCs w:val="22"/>
              </w:rPr>
              <w:t xml:space="preserve"> prevádzkovaného</w:t>
            </w:r>
            <w:r w:rsidRPr="00F14E8D">
              <w:rPr>
                <w:szCs w:val="22"/>
              </w:rPr>
              <w:t xml:space="preserve"> finančn</w:t>
            </w:r>
            <w:r>
              <w:rPr>
                <w:szCs w:val="22"/>
              </w:rPr>
              <w:t>ým riaditeľstvom z dôvodu ...</w:t>
            </w:r>
          </w:p>
        </w:tc>
      </w:tr>
    </w:tbl>
    <w:p w:rsidR="00AA3832" w:rsidRDefault="00AA3832" w:rsidP="00AA3832">
      <w:pPr>
        <w:spacing w:after="200"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6C589F" w:rsidRPr="001E754E" w:rsidRDefault="006C589F" w:rsidP="006C589F">
      <w:pPr>
        <w:spacing w:after="200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Zásada „jedenkrát a dosť“</w:t>
      </w:r>
    </w:p>
    <w:p w:rsidR="006C589F" w:rsidRDefault="00C73727" w:rsidP="006C589F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Jedným z primárnych prínosov informatizácie by malo byť zjednodušenie v komunikácii občana a podnikateľa so štátom, pričom podstatným zjednodušením je najmä využívanie údajov, ktoré sú na konanie potrebné a ktorými už štát disponuje</w:t>
      </w:r>
      <w:r w:rsidR="006C589F" w:rsidRPr="001E754E">
        <w:rPr>
          <w:rFonts w:eastAsia="Calibri"/>
          <w:color w:val="000000"/>
          <w:sz w:val="24"/>
          <w:szCs w:val="24"/>
          <w:lang w:eastAsia="en-US"/>
        </w:rPr>
        <w:t>.</w:t>
      </w:r>
      <w:r>
        <w:rPr>
          <w:rFonts w:eastAsia="Calibri"/>
          <w:color w:val="000000"/>
          <w:sz w:val="24"/>
          <w:szCs w:val="24"/>
          <w:lang w:eastAsia="en-US"/>
        </w:rPr>
        <w:t xml:space="preserve"> Ide o princíp, ktorý je na zákonnej úrovni zakotvený nielen v § 17 ods. 5 až 7 zákona o e-Governmente ale najmä v zákone č. 177/2018 Z.z. v znení neskorších predpisov, ktorý tento princíp ukladá ako povinnosť voči tam ustanoveným registrom a zákonným evidenciám. </w:t>
      </w:r>
    </w:p>
    <w:p w:rsidR="00C73727" w:rsidRDefault="00C73727" w:rsidP="00C73727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Pokiaľ ide o pojem „zákonom ustanovená evidencia“, myslí sa tým najvšeobecnejšie vyjadrenie, zahŕňajúce nielen registre a zoznamy, ale akékoľvek evidencie a databázy údajov, ktorými orgány verejnej moci disponujú, ktoré vytvárajú pri plnení svojich úloh, bez ohľadu na to, či sú formálne zriadené zákonom alebo ich vedenie </w:t>
      </w:r>
      <w:r w:rsidR="00CB26E9">
        <w:rPr>
          <w:rFonts w:eastAsia="Calibri"/>
          <w:color w:val="000000"/>
          <w:sz w:val="24"/>
          <w:szCs w:val="24"/>
          <w:lang w:eastAsia="en-US"/>
        </w:rPr>
        <w:t xml:space="preserve">zo zákona </w:t>
      </w:r>
      <w:r>
        <w:rPr>
          <w:rFonts w:eastAsia="Calibri"/>
          <w:color w:val="000000"/>
          <w:sz w:val="24"/>
          <w:szCs w:val="24"/>
          <w:lang w:eastAsia="en-US"/>
        </w:rPr>
        <w:t xml:space="preserve">„len“ </w:t>
      </w:r>
      <w:r w:rsidR="00CB26E9">
        <w:rPr>
          <w:rFonts w:eastAsia="Calibri"/>
          <w:color w:val="000000"/>
          <w:sz w:val="24"/>
          <w:szCs w:val="24"/>
          <w:lang w:eastAsia="en-US"/>
        </w:rPr>
        <w:t>vyplýva</w:t>
      </w:r>
      <w:r>
        <w:rPr>
          <w:rFonts w:eastAsia="Calibri"/>
          <w:color w:val="000000"/>
          <w:sz w:val="24"/>
          <w:szCs w:val="24"/>
          <w:lang w:eastAsia="en-US"/>
        </w:rPr>
        <w:t>.</w:t>
      </w:r>
    </w:p>
    <w:p w:rsidR="00C73727" w:rsidRPr="001E754E" w:rsidRDefault="00C73727" w:rsidP="00C73727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Pod pojmom „údaje“ sa myslia v najvšeobecnejšom vyjadrení všetky dokumenty, informácie, preukazovanie skutočností a iné veci, ktoré sa v konaní predkladajú alebo preukazujú orgánu verejnej moci a na základe ktorých sa rozhoduje.</w:t>
      </w:r>
    </w:p>
    <w:p w:rsidR="00C73727" w:rsidRDefault="00C73727" w:rsidP="006C589F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Žiaducim stavom je, aby v prípade zavádzania nových konaní bol tento princíp v plnej miere rešpektovaný a nové konania s ním už počítali ako s bežnou praxou – teda aby občania a podnikatelia neboli povinní predkladať orgánu údaje</w:t>
      </w:r>
      <w:r w:rsidR="003A38A8">
        <w:rPr>
          <w:rFonts w:eastAsia="Calibri"/>
          <w:color w:val="000000"/>
          <w:sz w:val="24"/>
          <w:szCs w:val="24"/>
          <w:lang w:eastAsia="en-US"/>
        </w:rPr>
        <w:t>, ktorými štát disponuje</w:t>
      </w:r>
      <w:r>
        <w:rPr>
          <w:rFonts w:eastAsia="Calibri"/>
          <w:color w:val="000000"/>
          <w:sz w:val="24"/>
          <w:szCs w:val="24"/>
          <w:lang w:eastAsia="en-US"/>
        </w:rPr>
        <w:t>. V prípade existujúcich konaní je žiaducim stavom, aby bol tento princíp zavedený v čo najkratšom možnom čase.</w:t>
      </w:r>
    </w:p>
    <w:p w:rsidR="006C589F" w:rsidRDefault="006C589F" w:rsidP="006C589F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E754E">
        <w:rPr>
          <w:rFonts w:eastAsia="Calibri"/>
          <w:color w:val="000000"/>
          <w:sz w:val="24"/>
          <w:szCs w:val="24"/>
          <w:lang w:eastAsia="en-US"/>
        </w:rPr>
        <w:t>Z</w:t>
      </w:r>
      <w:r w:rsidR="00C73727">
        <w:rPr>
          <w:rFonts w:eastAsia="Calibri"/>
          <w:color w:val="000000"/>
          <w:sz w:val="24"/>
          <w:szCs w:val="24"/>
          <w:lang w:eastAsia="en-US"/>
        </w:rPr>
        <w:t xml:space="preserve"> povahy niektorých konaní vyplýva, že tento princíp nie je možné zaviesť – nie preto, že by to nebolo </w:t>
      </w:r>
      <w:r w:rsidR="00EC0DD5">
        <w:rPr>
          <w:rFonts w:eastAsia="Calibri"/>
          <w:color w:val="000000"/>
          <w:sz w:val="24"/>
          <w:szCs w:val="24"/>
          <w:lang w:eastAsia="en-US"/>
        </w:rPr>
        <w:t xml:space="preserve">objektívne </w:t>
      </w:r>
      <w:r w:rsidR="00C73727">
        <w:rPr>
          <w:rFonts w:eastAsia="Calibri"/>
          <w:color w:val="000000"/>
          <w:sz w:val="24"/>
          <w:szCs w:val="24"/>
          <w:lang w:eastAsia="en-US"/>
        </w:rPr>
        <w:t xml:space="preserve">možné, ale preto, že by to poprelo zmysel </w:t>
      </w:r>
      <w:r w:rsidR="009B2E77">
        <w:rPr>
          <w:rFonts w:eastAsia="Calibri"/>
          <w:color w:val="000000"/>
          <w:sz w:val="24"/>
          <w:szCs w:val="24"/>
          <w:lang w:eastAsia="en-US"/>
        </w:rPr>
        <w:t xml:space="preserve">alebo charakter </w:t>
      </w:r>
      <w:r w:rsidR="00C73727">
        <w:rPr>
          <w:rFonts w:eastAsia="Calibri"/>
          <w:color w:val="000000"/>
          <w:sz w:val="24"/>
          <w:szCs w:val="24"/>
          <w:lang w:eastAsia="en-US"/>
        </w:rPr>
        <w:t xml:space="preserve">daného konania, resp. predkladania údajov. </w:t>
      </w:r>
      <w:r w:rsidR="009F06F7">
        <w:rPr>
          <w:rFonts w:eastAsia="Calibri"/>
          <w:color w:val="000000"/>
          <w:sz w:val="24"/>
          <w:szCs w:val="24"/>
          <w:lang w:eastAsia="en-US"/>
        </w:rPr>
        <w:t>Ako typický príklad je možné uviesť predkladanie dôkazov v</w:t>
      </w:r>
      <w:r w:rsidR="009B2E77">
        <w:rPr>
          <w:rFonts w:eastAsia="Calibri"/>
          <w:color w:val="000000"/>
          <w:sz w:val="24"/>
          <w:szCs w:val="24"/>
          <w:lang w:eastAsia="en-US"/>
        </w:rPr>
        <w:t> </w:t>
      </w:r>
      <w:r w:rsidR="009F06F7">
        <w:rPr>
          <w:rFonts w:eastAsia="Calibri"/>
          <w:color w:val="000000"/>
          <w:sz w:val="24"/>
          <w:szCs w:val="24"/>
          <w:lang w:eastAsia="en-US"/>
        </w:rPr>
        <w:t>konaniach</w:t>
      </w:r>
      <w:r w:rsidR="009B2E77">
        <w:rPr>
          <w:rFonts w:eastAsia="Calibri"/>
          <w:color w:val="000000"/>
          <w:sz w:val="24"/>
          <w:szCs w:val="24"/>
          <w:lang w:eastAsia="en-US"/>
        </w:rPr>
        <w:t xml:space="preserve"> pred </w:t>
      </w:r>
      <w:r w:rsidR="00F35080">
        <w:rPr>
          <w:rFonts w:eastAsia="Calibri"/>
          <w:color w:val="000000"/>
          <w:sz w:val="24"/>
          <w:szCs w:val="24"/>
          <w:lang w:eastAsia="en-US"/>
        </w:rPr>
        <w:t xml:space="preserve">civilným </w:t>
      </w:r>
      <w:r w:rsidR="009B2E77">
        <w:rPr>
          <w:rFonts w:eastAsia="Calibri"/>
          <w:color w:val="000000"/>
          <w:sz w:val="24"/>
          <w:szCs w:val="24"/>
          <w:lang w:eastAsia="en-US"/>
        </w:rPr>
        <w:t>súdom</w:t>
      </w:r>
      <w:r w:rsidR="00F35080">
        <w:rPr>
          <w:rFonts w:eastAsia="Calibri"/>
          <w:color w:val="000000"/>
          <w:sz w:val="24"/>
          <w:szCs w:val="24"/>
          <w:lang w:eastAsia="en-US"/>
        </w:rPr>
        <w:t>.</w:t>
      </w:r>
      <w:r w:rsidR="009B2E77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35080">
        <w:rPr>
          <w:rFonts w:eastAsia="Calibri"/>
          <w:color w:val="000000"/>
          <w:sz w:val="24"/>
          <w:szCs w:val="24"/>
          <w:lang w:eastAsia="en-US"/>
        </w:rPr>
        <w:t>P</w:t>
      </w:r>
      <w:r w:rsidR="009B2E77">
        <w:rPr>
          <w:rFonts w:eastAsia="Calibri"/>
          <w:color w:val="000000"/>
          <w:sz w:val="24"/>
          <w:szCs w:val="24"/>
          <w:lang w:eastAsia="en-US"/>
        </w:rPr>
        <w:t>odľa § 185 ods. 2 CSP súd má za určitých podmienok možnosť (avšak nie povinnosť) aj bez návrhu (teda z vlastnej iniciatívy) vykonať dôkaz, ktorý vyplýva z verejných registrov a zoznamov.</w:t>
      </w:r>
      <w:r w:rsidR="003A38A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5D4323">
        <w:rPr>
          <w:rFonts w:eastAsia="Calibri"/>
          <w:color w:val="000000"/>
          <w:sz w:val="24"/>
          <w:szCs w:val="24"/>
          <w:lang w:eastAsia="en-US"/>
        </w:rPr>
        <w:t>Zmyslom takto formulovaného ustanovenia</w:t>
      </w:r>
      <w:r w:rsidR="003A38A8">
        <w:rPr>
          <w:rFonts w:eastAsia="Calibri"/>
          <w:color w:val="000000"/>
          <w:sz w:val="24"/>
          <w:szCs w:val="24"/>
          <w:lang w:eastAsia="en-US"/>
        </w:rPr>
        <w:t xml:space="preserve"> pritom nie je „udržanie byrokratickej prekážky“, ale charakter </w:t>
      </w:r>
      <w:r w:rsidR="005D4323">
        <w:rPr>
          <w:rFonts w:eastAsia="Calibri"/>
          <w:color w:val="000000"/>
          <w:sz w:val="24"/>
          <w:szCs w:val="24"/>
          <w:lang w:eastAsia="en-US"/>
        </w:rPr>
        <w:t xml:space="preserve">civilného sporového </w:t>
      </w:r>
      <w:r w:rsidR="003A38A8">
        <w:rPr>
          <w:rFonts w:eastAsia="Calibri"/>
          <w:color w:val="000000"/>
          <w:sz w:val="24"/>
          <w:szCs w:val="24"/>
          <w:lang w:eastAsia="en-US"/>
        </w:rPr>
        <w:t xml:space="preserve">konania samotného. V inom príklade, v konaní o udelení oprávnenia na oboznamovanie sa s utajovanými skutočnosťami podľa zákona č. 215/2004 Z.z. v znení neskorších predpisov je ustanovená </w:t>
      </w:r>
      <w:proofErr w:type="spellStart"/>
      <w:r w:rsidR="003A38A8">
        <w:rPr>
          <w:rFonts w:eastAsia="Calibri"/>
          <w:color w:val="000000"/>
          <w:sz w:val="24"/>
          <w:szCs w:val="24"/>
          <w:lang w:eastAsia="en-US"/>
        </w:rPr>
        <w:t>o.i</w:t>
      </w:r>
      <w:proofErr w:type="spellEnd"/>
      <w:r w:rsidR="003A38A8">
        <w:rPr>
          <w:rFonts w:eastAsia="Calibri"/>
          <w:color w:val="000000"/>
          <w:sz w:val="24"/>
          <w:szCs w:val="24"/>
          <w:lang w:eastAsia="en-US"/>
        </w:rPr>
        <w:t>. povinnosť predkladať dokumenty a údaje v tzv. bezpečnostnom dotazníku, pričom v danom prípade je dôležitá nielen hodnota údaja (teda obsah toho, čo sa predkladá a preukazuje) ale aj samotný fakt, či a s akým obsahom sám účastník konania dokument či údaj predloží. Inými slovami, posudzuje sa (aj) konanie účastníka pri predkladaní a nielen samotný skutočný stav danej veci.</w:t>
      </w:r>
    </w:p>
    <w:p w:rsidR="003A38A8" w:rsidRDefault="00A23306" w:rsidP="006C589F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V tejto časti sa hodnotí miera používania údajov z existujúcich zákonných evidencií z úradnej moci a odbremenenie občanov a podnikateľov od preukazovani</w:t>
      </w:r>
      <w:r w:rsidR="00D228F8">
        <w:rPr>
          <w:rFonts w:eastAsia="Calibri"/>
          <w:color w:val="000000"/>
          <w:sz w:val="24"/>
          <w:szCs w:val="24"/>
          <w:lang w:eastAsia="en-US"/>
        </w:rPr>
        <w:t>a</w:t>
      </w:r>
      <w:r>
        <w:rPr>
          <w:rFonts w:eastAsia="Calibri"/>
          <w:color w:val="000000"/>
          <w:sz w:val="24"/>
          <w:szCs w:val="24"/>
          <w:lang w:eastAsia="en-US"/>
        </w:rPr>
        <w:t xml:space="preserve"> a predkladania údajov, ktorými štát disponuje. </w:t>
      </w:r>
      <w:r w:rsidR="003A38A8">
        <w:rPr>
          <w:rFonts w:eastAsia="Calibri"/>
          <w:color w:val="000000"/>
          <w:sz w:val="24"/>
          <w:szCs w:val="24"/>
          <w:lang w:eastAsia="en-US"/>
        </w:rPr>
        <w:t>Pozitívnym vplyvom na informatizáciu sa v prípade posudzovania zásady „jedenkrát a dosť“ rozumie stav, kedy účastník konania nemusí predkladať orgánu žiadne údaje, ktoré sú vedené v zákonných evidenciách a tieto údaje si orgán získava sám – či už od účinnosti predkladaného návrhu zákona alebo po uplynutí primeraného prechodného obdobia pri existujúcich konaniach. Nedodržanie tohto princípu je možné akceptovať výlučne v prípade, ak je to nevyhnutné z dôvodu povahy samotného konania, resp. ak je predkladanie zo strany účastníka pre dané konanie nevyhnutné.</w:t>
      </w:r>
    </w:p>
    <w:p w:rsidR="00114CD6" w:rsidRDefault="00114CD6" w:rsidP="00114CD6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E754E">
        <w:rPr>
          <w:rFonts w:eastAsia="Calibri"/>
          <w:i/>
          <w:iCs/>
          <w:color w:val="000000"/>
          <w:sz w:val="24"/>
          <w:szCs w:val="24"/>
          <w:lang w:eastAsia="en-US"/>
        </w:rPr>
        <w:t>Príklad</w:t>
      </w:r>
      <w:r w:rsidR="00036E5D"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 č. 1</w:t>
      </w:r>
      <w:r>
        <w:rPr>
          <w:rFonts w:eastAsia="Calibri"/>
          <w:color w:val="000000"/>
          <w:sz w:val="24"/>
          <w:szCs w:val="24"/>
          <w:lang w:eastAsia="en-US"/>
        </w:rPr>
        <w:t>:</w:t>
      </w:r>
    </w:p>
    <w:p w:rsidR="006C589F" w:rsidRDefault="001A4047" w:rsidP="00AA3832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Zákonom č. 215/2019 Z.z. sa zavádza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o.i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. registrácia </w:t>
      </w:r>
      <w:r w:rsidR="00A629FD">
        <w:rPr>
          <w:rFonts w:eastAsia="Calibri"/>
          <w:color w:val="000000"/>
          <w:sz w:val="24"/>
          <w:szCs w:val="24"/>
          <w:lang w:eastAsia="en-US"/>
        </w:rPr>
        <w:t>v informačnom systéme elektronickej fakturácie (ďalej len „fakturačný systém“). Na účely tejto registrácie je potrebné získať údaje o samotnom subjekte, ako aj o osobách, ktoré sú v jeho mene zo zákona oprávnené konať. Podľa § 6 ods. 3 a 10 sa údaje na účely registrácie získajú z iných evidencií štátu</w:t>
      </w:r>
      <w:r w:rsidR="00E92BA8">
        <w:rPr>
          <w:rFonts w:eastAsia="Calibri"/>
          <w:color w:val="000000"/>
          <w:sz w:val="24"/>
          <w:szCs w:val="24"/>
          <w:lang w:eastAsia="en-US"/>
        </w:rPr>
        <w:t>.</w:t>
      </w:r>
    </w:p>
    <w:p w:rsidR="00E92BA8" w:rsidRDefault="00E92BA8" w:rsidP="00AA3832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Analýza vplyvov v časti 6.5 sa pre tento prípad vyplní nasledovne: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3969"/>
      </w:tblGrid>
      <w:tr w:rsidR="00FD66CD" w:rsidRPr="00F4692C" w:rsidTr="00036E5D">
        <w:trPr>
          <w:trHeight w:val="20"/>
        </w:trPr>
        <w:tc>
          <w:tcPr>
            <w:tcW w:w="9371" w:type="dxa"/>
            <w:gridSpan w:val="3"/>
            <w:shd w:val="clear" w:color="auto" w:fill="BFBFBF" w:themeFill="background1" w:themeFillShade="BF"/>
          </w:tcPr>
          <w:p w:rsidR="00FD66CD" w:rsidRPr="00F4692C" w:rsidRDefault="00FD66CD" w:rsidP="00036E5D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lastRenderedPageBreak/>
              <w:t>Zásada „jedenkrát a dosť“</w:t>
            </w:r>
          </w:p>
        </w:tc>
      </w:tr>
      <w:tr w:rsidR="00FD66CD" w:rsidRPr="005C4B9C" w:rsidTr="00036E5D">
        <w:trPr>
          <w:trHeight w:val="20"/>
        </w:trPr>
        <w:tc>
          <w:tcPr>
            <w:tcW w:w="3956" w:type="dxa"/>
          </w:tcPr>
          <w:p w:rsidR="00FD66CD" w:rsidRPr="005C4B9C" w:rsidRDefault="00FD66CD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Pr="001E754E">
              <w:rPr>
                <w:bCs/>
                <w:szCs w:val="22"/>
              </w:rPr>
              <w:t>Predpokladá predložený návrh predklada</w:t>
            </w:r>
            <w:r>
              <w:rPr>
                <w:bCs/>
                <w:szCs w:val="22"/>
              </w:rPr>
              <w:t>nie</w:t>
            </w:r>
            <w:r w:rsidRPr="001E754E">
              <w:rPr>
                <w:bCs/>
                <w:szCs w:val="22"/>
              </w:rPr>
              <w:t xml:space="preserve"> dokument</w:t>
            </w:r>
            <w:r>
              <w:rPr>
                <w:bCs/>
                <w:szCs w:val="22"/>
              </w:rPr>
              <w:t>ov</w:t>
            </w:r>
            <w:r w:rsidRPr="001E754E">
              <w:rPr>
                <w:bCs/>
                <w:szCs w:val="22"/>
              </w:rPr>
              <w:t>, informáci</w:t>
            </w:r>
            <w:r>
              <w:rPr>
                <w:bCs/>
                <w:szCs w:val="22"/>
              </w:rPr>
              <w:t>í</w:t>
            </w:r>
            <w:r w:rsidRPr="001E754E">
              <w:rPr>
                <w:bCs/>
                <w:szCs w:val="22"/>
              </w:rPr>
              <w:t xml:space="preserve"> alebo preukazova</w:t>
            </w:r>
            <w:r>
              <w:rPr>
                <w:bCs/>
                <w:szCs w:val="22"/>
              </w:rPr>
              <w:t>nie</w:t>
            </w:r>
            <w:r w:rsidRPr="001E754E">
              <w:rPr>
                <w:bCs/>
                <w:szCs w:val="22"/>
              </w:rPr>
              <w:t xml:space="preserve"> skutočnost</w:t>
            </w:r>
            <w:r>
              <w:rPr>
                <w:bCs/>
                <w:szCs w:val="22"/>
              </w:rPr>
              <w:t>í</w:t>
            </w:r>
            <w:r w:rsidRPr="001E754E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D66CD" w:rsidRPr="00F04CCD" w:rsidTr="00036E5D">
              <w:sdt>
                <w:sdtPr>
                  <w:id w:val="24546515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D66CD" w:rsidRPr="00F04CCD" w:rsidRDefault="000F41B8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D66CD" w:rsidRPr="00F04CCD" w:rsidRDefault="00FD66C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D66CD" w:rsidRPr="00F04CCD" w:rsidTr="00036E5D">
              <w:sdt>
                <w:sdtPr>
                  <w:id w:val="16779977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D66CD" w:rsidRPr="00F04CCD" w:rsidRDefault="00FD66CD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D66CD" w:rsidRPr="00F04CCD" w:rsidRDefault="00FD66C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D66CD" w:rsidRPr="00FA16FE" w:rsidRDefault="00FD66CD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D66CD" w:rsidRPr="00F14E8D" w:rsidRDefault="000F41B8" w:rsidP="00036E5D">
            <w:pPr>
              <w:spacing w:line="20" w:lineRule="atLeast"/>
              <w:jc w:val="both"/>
              <w:rPr>
                <w:szCs w:val="22"/>
              </w:rPr>
            </w:pPr>
            <w:r w:rsidRPr="00F14E8D">
              <w:rPr>
                <w:szCs w:val="22"/>
              </w:rPr>
              <w:t>Konanie o registrácii vo fakturačnom systéme podľa § 6 zákona.</w:t>
            </w:r>
          </w:p>
          <w:p w:rsidR="000F41B8" w:rsidRPr="005C4B9C" w:rsidRDefault="000F41B8" w:rsidP="00036E5D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  <w:r w:rsidRPr="00F14E8D">
              <w:rPr>
                <w:szCs w:val="22"/>
              </w:rPr>
              <w:t>Získavajú sa údaje v rozsahu identifikačných údajov registrovanej osoby, konkrétne .... a údaje o osobách oprávnených konať v jej mene v rozsahu ...</w:t>
            </w:r>
          </w:p>
        </w:tc>
      </w:tr>
      <w:tr w:rsidR="00FD66CD" w:rsidRPr="005C4B9C" w:rsidTr="00036E5D">
        <w:trPr>
          <w:trHeight w:val="20"/>
        </w:trPr>
        <w:tc>
          <w:tcPr>
            <w:tcW w:w="3956" w:type="dxa"/>
          </w:tcPr>
          <w:p w:rsidR="00FD66CD" w:rsidRPr="005C4B9C" w:rsidRDefault="00FD66CD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Pr="001E754E">
              <w:rPr>
                <w:bCs/>
                <w:szCs w:val="22"/>
              </w:rPr>
              <w:t xml:space="preserve">Predpokladá predložený návrh, aby </w:t>
            </w:r>
            <w:r>
              <w:rPr>
                <w:bCs/>
                <w:szCs w:val="22"/>
              </w:rPr>
              <w:t>sa</w:t>
            </w:r>
            <w:r w:rsidRPr="001E754E">
              <w:rPr>
                <w:bCs/>
                <w:szCs w:val="22"/>
              </w:rPr>
              <w:t xml:space="preserve"> predkladal</w:t>
            </w:r>
            <w:r>
              <w:rPr>
                <w:bCs/>
                <w:szCs w:val="22"/>
              </w:rPr>
              <w:t>i</w:t>
            </w:r>
            <w:r w:rsidRPr="001E754E">
              <w:rPr>
                <w:bCs/>
                <w:szCs w:val="22"/>
              </w:rPr>
              <w:t xml:space="preserve"> údaje, ktoré sa nachádzajú v zákonom ustanovenej evidencii</w:t>
            </w:r>
            <w:r>
              <w:rPr>
                <w:bCs/>
                <w:szCs w:val="22"/>
              </w:rPr>
              <w:t xml:space="preserve"> vedenej orgánom, ktorý konanie vedie alebo iným orgánom</w:t>
            </w:r>
            <w:r w:rsidRPr="001E754E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D66CD" w:rsidRPr="00F04CCD" w:rsidTr="00036E5D">
              <w:sdt>
                <w:sdtPr>
                  <w:id w:val="-4672039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D66CD" w:rsidRPr="00F04CCD" w:rsidRDefault="000F41B8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D66CD" w:rsidRPr="00F04CCD" w:rsidRDefault="00FD66C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D66CD" w:rsidRPr="00F04CCD" w:rsidTr="00036E5D">
              <w:sdt>
                <w:sdtPr>
                  <w:id w:val="-1747638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D66CD" w:rsidRPr="00F04CCD" w:rsidRDefault="00FD66CD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D66CD" w:rsidRPr="00F04CCD" w:rsidRDefault="00FD66C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D66CD" w:rsidRPr="00FA16FE" w:rsidRDefault="00FD66CD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F41B8" w:rsidRPr="00F14E8D" w:rsidRDefault="000F41B8" w:rsidP="00036E5D">
            <w:pPr>
              <w:rPr>
                <w:szCs w:val="22"/>
              </w:rPr>
            </w:pPr>
            <w:r w:rsidRPr="00F14E8D">
              <w:rPr>
                <w:szCs w:val="22"/>
              </w:rPr>
              <w:t>Register právnických osôb, podnikateľov a orgánov verejnej moci podľa zákona č. 272/2015 Z.z. v znení neskorších predpisov.</w:t>
            </w:r>
          </w:p>
          <w:p w:rsidR="000F41B8" w:rsidRPr="00F14E8D" w:rsidRDefault="000F41B8" w:rsidP="00036E5D">
            <w:pPr>
              <w:rPr>
                <w:i/>
                <w:iCs/>
                <w:szCs w:val="22"/>
              </w:rPr>
            </w:pPr>
            <w:r w:rsidRPr="00F14E8D">
              <w:rPr>
                <w:szCs w:val="22"/>
              </w:rPr>
              <w:t>Zoznam hospodárskych subjektov podľa zákona č. 343/2015 Z.z. v znení neskorších predpisov.</w:t>
            </w:r>
          </w:p>
        </w:tc>
      </w:tr>
      <w:tr w:rsidR="00FD66CD" w:rsidRPr="005C4B9C" w:rsidTr="00036E5D">
        <w:trPr>
          <w:trHeight w:val="20"/>
        </w:trPr>
        <w:tc>
          <w:tcPr>
            <w:tcW w:w="3956" w:type="dxa"/>
          </w:tcPr>
          <w:p w:rsidR="00FD66CD" w:rsidRPr="005C4B9C" w:rsidRDefault="00FD66CD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subjektom súkromného práva, </w:t>
            </w:r>
            <w:r w:rsidRPr="001E754E">
              <w:rPr>
                <w:bCs/>
                <w:szCs w:val="22"/>
              </w:rPr>
              <w:t>navrhovateľ</w:t>
            </w:r>
            <w:r>
              <w:rPr>
                <w:bCs/>
                <w:szCs w:val="22"/>
              </w:rPr>
              <w:t xml:space="preserve">om, </w:t>
            </w:r>
            <w:r w:rsidRPr="001E754E">
              <w:rPr>
                <w:bCs/>
                <w:szCs w:val="22"/>
              </w:rPr>
              <w:t>žiadateľ</w:t>
            </w:r>
            <w:r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D66CD" w:rsidRPr="00F04CCD" w:rsidTr="00036E5D">
              <w:sdt>
                <w:sdtPr>
                  <w:id w:val="-189889079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D66CD" w:rsidRPr="00F04CCD" w:rsidRDefault="000F41B8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D66CD" w:rsidRPr="00F04CCD" w:rsidRDefault="00FD66C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D66CD" w:rsidRPr="00F04CCD" w:rsidTr="00036E5D">
              <w:sdt>
                <w:sdtPr>
                  <w:id w:val="-16057275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D66CD" w:rsidRPr="00F04CCD" w:rsidRDefault="00FD66CD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D66CD" w:rsidRPr="00F04CCD" w:rsidRDefault="00FD66C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D66CD" w:rsidRPr="00FA16FE" w:rsidRDefault="00FD66CD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D66CD" w:rsidRPr="00F14E8D" w:rsidRDefault="000F41B8" w:rsidP="000F41B8">
            <w:pPr>
              <w:rPr>
                <w:sz w:val="24"/>
                <w:szCs w:val="24"/>
              </w:rPr>
            </w:pPr>
            <w:r w:rsidRPr="00F14E8D">
              <w:rPr>
                <w:szCs w:val="22"/>
              </w:rPr>
              <w:t>Údaje bude podľa § 6 ods. 3 získavať MF SR priamo z vyššie uvedených evidencií a podľa § 6 ods. 10 ich správcovia evidencií budú povinní poskytovať MF SR</w:t>
            </w:r>
            <w:r>
              <w:rPr>
                <w:szCs w:val="22"/>
              </w:rPr>
              <w:t xml:space="preserve"> spôsobom podľa § 17 ods. 6 zákona o e-Governmente</w:t>
            </w:r>
            <w:r w:rsidRPr="00F14E8D">
              <w:rPr>
                <w:szCs w:val="22"/>
              </w:rPr>
              <w:t>.</w:t>
            </w:r>
          </w:p>
        </w:tc>
      </w:tr>
      <w:tr w:rsidR="00FD66CD" w:rsidRPr="005C4B9C" w:rsidTr="00036E5D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FD66CD" w:rsidRPr="005C4B9C" w:rsidRDefault="00FD66CD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mu budú predkladané účastníkom konania,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D66CD" w:rsidRPr="00F04CCD" w:rsidTr="00036E5D">
              <w:sdt>
                <w:sdtPr>
                  <w:id w:val="-6263828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D66CD" w:rsidRPr="00F04CCD" w:rsidRDefault="00FD66CD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D66CD" w:rsidRPr="00F04CCD" w:rsidRDefault="00FD66C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FD66CD" w:rsidRPr="00F04CCD" w:rsidTr="00036E5D">
              <w:sdt>
                <w:sdtPr>
                  <w:id w:val="-30686755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FD66CD" w:rsidRPr="00F04CCD" w:rsidRDefault="00604EC2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FD66CD" w:rsidRPr="00F04CCD" w:rsidRDefault="00FD66C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FD66CD" w:rsidRPr="00FA16FE" w:rsidRDefault="00FD66CD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D66CD" w:rsidRPr="005C4B9C" w:rsidRDefault="00604EC2" w:rsidP="00036E5D">
            <w:pPr>
              <w:rPr>
                <w:i/>
                <w:iCs/>
                <w:sz w:val="24"/>
                <w:szCs w:val="24"/>
              </w:rPr>
            </w:pPr>
            <w:r w:rsidRPr="00F14E8D">
              <w:rPr>
                <w:szCs w:val="22"/>
              </w:rPr>
              <w:t>Údaje budú získavané z úradnej moci od začiatku aplikácie daného ustanovenia o registračnom konaní.</w:t>
            </w:r>
          </w:p>
        </w:tc>
      </w:tr>
    </w:tbl>
    <w:p w:rsidR="00FD66CD" w:rsidRDefault="00FD66CD" w:rsidP="00AA3832">
      <w:pPr>
        <w:spacing w:after="200"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036E5D" w:rsidRDefault="00036E5D" w:rsidP="00036E5D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E754E">
        <w:rPr>
          <w:rFonts w:eastAsia="Calibri"/>
          <w:i/>
          <w:iCs/>
          <w:color w:val="000000"/>
          <w:sz w:val="24"/>
          <w:szCs w:val="24"/>
          <w:lang w:eastAsia="en-US"/>
        </w:rPr>
        <w:t>Príklad</w:t>
      </w:r>
      <w:r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 č. 2</w:t>
      </w:r>
      <w:r>
        <w:rPr>
          <w:rFonts w:eastAsia="Calibri"/>
          <w:color w:val="000000"/>
          <w:sz w:val="24"/>
          <w:szCs w:val="24"/>
          <w:lang w:eastAsia="en-US"/>
        </w:rPr>
        <w:t>:</w:t>
      </w:r>
    </w:p>
    <w:p w:rsidR="00036E5D" w:rsidRDefault="00036E5D" w:rsidP="00036E5D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Na vyššie spomenutom konaní o udelení oprávnenia na oboznamovanie sa s utajovanými skutočnosťami je možné ilustrovať príklad, kedy zákon zachováva povinnosť predkladania údajov v konaní orgánu verejnej moci. </w:t>
      </w:r>
      <w:r w:rsidR="00D54754">
        <w:rPr>
          <w:rFonts w:eastAsia="Calibri"/>
          <w:color w:val="000000"/>
          <w:sz w:val="24"/>
          <w:szCs w:val="24"/>
          <w:lang w:eastAsia="en-US"/>
        </w:rPr>
        <w:t>Odmyslíme predkladanie iných dokumentov a na účely príkladu</w:t>
      </w:r>
      <w:r>
        <w:rPr>
          <w:rFonts w:eastAsia="Calibri"/>
          <w:color w:val="000000"/>
          <w:sz w:val="24"/>
          <w:szCs w:val="24"/>
          <w:lang w:eastAsia="en-US"/>
        </w:rPr>
        <w:t xml:space="preserve"> budeme brať do úvahy </w:t>
      </w:r>
      <w:r w:rsidR="00D54754">
        <w:rPr>
          <w:rFonts w:eastAsia="Calibri"/>
          <w:color w:val="000000"/>
          <w:sz w:val="24"/>
          <w:szCs w:val="24"/>
          <w:lang w:eastAsia="en-US"/>
        </w:rPr>
        <w:t xml:space="preserve">len </w:t>
      </w:r>
      <w:r>
        <w:rPr>
          <w:rFonts w:eastAsia="Calibri"/>
          <w:color w:val="000000"/>
          <w:sz w:val="24"/>
          <w:szCs w:val="24"/>
          <w:lang w:eastAsia="en-US"/>
        </w:rPr>
        <w:t xml:space="preserve">povinnosť predkladať osobný dotazník a bezpečnostný dotazník podľa § 16 ods. </w:t>
      </w:r>
      <w:r w:rsidR="00D54754">
        <w:rPr>
          <w:rFonts w:eastAsia="Calibri"/>
          <w:color w:val="000000"/>
          <w:sz w:val="24"/>
          <w:szCs w:val="24"/>
          <w:lang w:eastAsia="en-US"/>
        </w:rPr>
        <w:t>1 písm. a) prvý a piaty bod zákona č. 215/2004 Z.z., tak a</w:t>
      </w:r>
      <w:r>
        <w:rPr>
          <w:rFonts w:eastAsia="Calibri"/>
          <w:color w:val="000000"/>
          <w:sz w:val="24"/>
          <w:szCs w:val="24"/>
          <w:lang w:eastAsia="en-US"/>
        </w:rPr>
        <w:t>nalýza vplyvov v časti 6.5 sa pre tento prípad vyplní nasledovne: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3969"/>
      </w:tblGrid>
      <w:tr w:rsidR="00036E5D" w:rsidRPr="00F4692C" w:rsidTr="00036E5D">
        <w:trPr>
          <w:trHeight w:val="20"/>
        </w:trPr>
        <w:tc>
          <w:tcPr>
            <w:tcW w:w="9371" w:type="dxa"/>
            <w:gridSpan w:val="3"/>
            <w:shd w:val="clear" w:color="auto" w:fill="BFBFBF" w:themeFill="background1" w:themeFillShade="BF"/>
          </w:tcPr>
          <w:p w:rsidR="00036E5D" w:rsidRPr="00F4692C" w:rsidRDefault="00036E5D" w:rsidP="00036E5D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Zásada „jedenkrát a dosť“</w:t>
            </w:r>
          </w:p>
        </w:tc>
      </w:tr>
      <w:tr w:rsidR="00036E5D" w:rsidRPr="005C4B9C" w:rsidTr="00036E5D">
        <w:trPr>
          <w:trHeight w:val="20"/>
        </w:trPr>
        <w:tc>
          <w:tcPr>
            <w:tcW w:w="3956" w:type="dxa"/>
          </w:tcPr>
          <w:p w:rsidR="00036E5D" w:rsidRPr="005C4B9C" w:rsidRDefault="00036E5D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6.5.1. </w:t>
            </w:r>
            <w:r w:rsidRPr="001E754E">
              <w:rPr>
                <w:bCs/>
                <w:szCs w:val="22"/>
              </w:rPr>
              <w:t>Predpokladá predložený návrh predklada</w:t>
            </w:r>
            <w:r>
              <w:rPr>
                <w:bCs/>
                <w:szCs w:val="22"/>
              </w:rPr>
              <w:t>nie</w:t>
            </w:r>
            <w:r w:rsidRPr="001E754E">
              <w:rPr>
                <w:bCs/>
                <w:szCs w:val="22"/>
              </w:rPr>
              <w:t xml:space="preserve"> dokument</w:t>
            </w:r>
            <w:r>
              <w:rPr>
                <w:bCs/>
                <w:szCs w:val="22"/>
              </w:rPr>
              <w:t>ov</w:t>
            </w:r>
            <w:r w:rsidRPr="001E754E">
              <w:rPr>
                <w:bCs/>
                <w:szCs w:val="22"/>
              </w:rPr>
              <w:t>, informáci</w:t>
            </w:r>
            <w:r>
              <w:rPr>
                <w:bCs/>
                <w:szCs w:val="22"/>
              </w:rPr>
              <w:t>í</w:t>
            </w:r>
            <w:r w:rsidRPr="001E754E">
              <w:rPr>
                <w:bCs/>
                <w:szCs w:val="22"/>
              </w:rPr>
              <w:t xml:space="preserve"> alebo preukazova</w:t>
            </w:r>
            <w:r>
              <w:rPr>
                <w:bCs/>
                <w:szCs w:val="22"/>
              </w:rPr>
              <w:t>nie</w:t>
            </w:r>
            <w:r w:rsidRPr="001E754E">
              <w:rPr>
                <w:bCs/>
                <w:szCs w:val="22"/>
              </w:rPr>
              <w:t xml:space="preserve"> skutočnost</w:t>
            </w:r>
            <w:r>
              <w:rPr>
                <w:bCs/>
                <w:szCs w:val="22"/>
              </w:rPr>
              <w:t>í</w:t>
            </w:r>
            <w:r w:rsidRPr="001E754E">
              <w:rPr>
                <w:bCs/>
                <w:szCs w:val="22"/>
              </w:rPr>
              <w:t xml:space="preserve">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36E5D" w:rsidRPr="00F04CCD" w:rsidTr="00036E5D">
              <w:sdt>
                <w:sdtPr>
                  <w:id w:val="188167066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36E5D" w:rsidRPr="00F04CCD" w:rsidRDefault="00036E5D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36E5D" w:rsidRPr="00F04CCD" w:rsidRDefault="00036E5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036E5D" w:rsidRPr="00F04CCD" w:rsidTr="00036E5D">
              <w:sdt>
                <w:sdtPr>
                  <w:id w:val="17820687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36E5D" w:rsidRPr="00F04CCD" w:rsidRDefault="00036E5D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36E5D" w:rsidRPr="00F04CCD" w:rsidRDefault="00036E5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036E5D" w:rsidRPr="00FA16FE" w:rsidRDefault="00036E5D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36E5D" w:rsidRDefault="00D54754" w:rsidP="00D54754">
            <w:pPr>
              <w:spacing w:line="2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Predkladanie materiálov na bezpečnostnú previerku podľa § 16 ods. 1. </w:t>
            </w:r>
          </w:p>
          <w:p w:rsidR="00D54754" w:rsidRDefault="00D54754" w:rsidP="00D54754">
            <w:pPr>
              <w:spacing w:line="20" w:lineRule="atLeast"/>
              <w:jc w:val="both"/>
              <w:rPr>
                <w:szCs w:val="22"/>
              </w:rPr>
            </w:pPr>
            <w:r>
              <w:rPr>
                <w:szCs w:val="22"/>
              </w:rPr>
              <w:t>Predkladajú sa osobný dotazník a bezpečnostný dotazník.</w:t>
            </w:r>
          </w:p>
          <w:p w:rsidR="00CB26E9" w:rsidRPr="005C4B9C" w:rsidRDefault="00CB26E9" w:rsidP="00D54754">
            <w:pPr>
              <w:spacing w:line="20" w:lineRule="atLeast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Cs w:val="22"/>
              </w:rPr>
              <w:t>Osobný dotazník obsahuje údaje podľa prílohy č. 2 zákona a bezpečnostný dotazník podľa prílohy č. 3 zákona.</w:t>
            </w:r>
          </w:p>
        </w:tc>
      </w:tr>
      <w:tr w:rsidR="00036E5D" w:rsidRPr="005C4B9C" w:rsidTr="00036E5D">
        <w:trPr>
          <w:trHeight w:val="20"/>
        </w:trPr>
        <w:tc>
          <w:tcPr>
            <w:tcW w:w="3956" w:type="dxa"/>
          </w:tcPr>
          <w:p w:rsidR="00036E5D" w:rsidRPr="005C4B9C" w:rsidRDefault="00036E5D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6.5.2. </w:t>
            </w:r>
            <w:r w:rsidRPr="001E754E">
              <w:rPr>
                <w:bCs/>
                <w:szCs w:val="22"/>
              </w:rPr>
              <w:t xml:space="preserve">Predpokladá predložený návrh, aby </w:t>
            </w:r>
            <w:r>
              <w:rPr>
                <w:bCs/>
                <w:szCs w:val="22"/>
              </w:rPr>
              <w:t>sa</w:t>
            </w:r>
            <w:r w:rsidRPr="001E754E">
              <w:rPr>
                <w:bCs/>
                <w:szCs w:val="22"/>
              </w:rPr>
              <w:t xml:space="preserve"> predkladal</w:t>
            </w:r>
            <w:r>
              <w:rPr>
                <w:bCs/>
                <w:szCs w:val="22"/>
              </w:rPr>
              <w:t>i</w:t>
            </w:r>
            <w:r w:rsidRPr="001E754E">
              <w:rPr>
                <w:bCs/>
                <w:szCs w:val="22"/>
              </w:rPr>
              <w:t xml:space="preserve"> údaje, ktoré sa nachádzajú v zákonom ustanovenej evidencii</w:t>
            </w:r>
            <w:r>
              <w:rPr>
                <w:bCs/>
                <w:szCs w:val="22"/>
              </w:rPr>
              <w:t xml:space="preserve"> vedenej orgánom, ktorý konanie vedie alebo iným orgánom</w:t>
            </w:r>
            <w:r w:rsidRPr="001E754E">
              <w:rPr>
                <w:bCs/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36E5D" w:rsidRPr="00F04CCD" w:rsidTr="00036E5D">
              <w:sdt>
                <w:sdtPr>
                  <w:id w:val="1861387007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36E5D" w:rsidRPr="00F04CCD" w:rsidRDefault="00036E5D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36E5D" w:rsidRPr="00F04CCD" w:rsidRDefault="00036E5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036E5D" w:rsidRPr="00F04CCD" w:rsidTr="00036E5D">
              <w:sdt>
                <w:sdtPr>
                  <w:id w:val="-8988988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36E5D" w:rsidRPr="00F04CCD" w:rsidRDefault="00036E5D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36E5D" w:rsidRPr="00F04CCD" w:rsidRDefault="00036E5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036E5D" w:rsidRPr="00FA16FE" w:rsidRDefault="00036E5D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93B27" w:rsidRDefault="00036E5D" w:rsidP="00036E5D">
            <w:pPr>
              <w:rPr>
                <w:szCs w:val="22"/>
              </w:rPr>
            </w:pPr>
            <w:r w:rsidRPr="001E754E">
              <w:rPr>
                <w:szCs w:val="22"/>
              </w:rPr>
              <w:t xml:space="preserve">Register </w:t>
            </w:r>
            <w:r w:rsidR="00F93B27">
              <w:rPr>
                <w:szCs w:val="22"/>
              </w:rPr>
              <w:t xml:space="preserve">fyzických osôb podľa zákona č. 253/1998 Z.z. v znení neskorších predpisov. </w:t>
            </w:r>
          </w:p>
          <w:p w:rsidR="00036E5D" w:rsidRPr="001E754E" w:rsidRDefault="00F93B27" w:rsidP="00036E5D">
            <w:pPr>
              <w:rPr>
                <w:szCs w:val="22"/>
              </w:rPr>
            </w:pPr>
            <w:r>
              <w:rPr>
                <w:szCs w:val="22"/>
              </w:rPr>
              <w:t xml:space="preserve">Register </w:t>
            </w:r>
            <w:r w:rsidR="00036E5D" w:rsidRPr="001E754E">
              <w:rPr>
                <w:szCs w:val="22"/>
              </w:rPr>
              <w:t>právnických osôb, podnikateľov a orgánov verejnej moci podľa zákona č. 272/2015 Z.z. v znení neskorších predpisov.</w:t>
            </w:r>
          </w:p>
          <w:p w:rsidR="00036E5D" w:rsidRDefault="00F93B27" w:rsidP="00036E5D">
            <w:pPr>
              <w:rPr>
                <w:szCs w:val="22"/>
              </w:rPr>
            </w:pPr>
            <w:r>
              <w:rPr>
                <w:szCs w:val="22"/>
              </w:rPr>
              <w:t>Register trestov</w:t>
            </w:r>
            <w:r w:rsidR="00036E5D" w:rsidRPr="001E754E">
              <w:rPr>
                <w:szCs w:val="22"/>
              </w:rPr>
              <w:t xml:space="preserve"> podľa zákona č. </w:t>
            </w:r>
            <w:r>
              <w:rPr>
                <w:szCs w:val="22"/>
              </w:rPr>
              <w:t>330</w:t>
            </w:r>
            <w:r w:rsidR="00036E5D" w:rsidRPr="001E754E">
              <w:rPr>
                <w:szCs w:val="22"/>
              </w:rPr>
              <w:t>/20</w:t>
            </w:r>
            <w:r>
              <w:rPr>
                <w:szCs w:val="22"/>
              </w:rPr>
              <w:t>07</w:t>
            </w:r>
            <w:r w:rsidR="00036E5D" w:rsidRPr="001E754E">
              <w:rPr>
                <w:szCs w:val="22"/>
              </w:rPr>
              <w:t xml:space="preserve"> Z.z. v znení neskorších predpisov.</w:t>
            </w:r>
          </w:p>
          <w:p w:rsidR="00F93B27" w:rsidRPr="001E754E" w:rsidRDefault="00F93B27" w:rsidP="00036E5D">
            <w:pPr>
              <w:rPr>
                <w:i/>
                <w:iCs/>
                <w:szCs w:val="22"/>
              </w:rPr>
            </w:pPr>
            <w:r>
              <w:rPr>
                <w:szCs w:val="22"/>
              </w:rPr>
              <w:t>Evidencie orgánov finančnej správy podľa ...</w:t>
            </w:r>
          </w:p>
        </w:tc>
      </w:tr>
      <w:tr w:rsidR="00036E5D" w:rsidRPr="005C4B9C" w:rsidTr="00036E5D">
        <w:trPr>
          <w:trHeight w:val="20"/>
        </w:trPr>
        <w:tc>
          <w:tcPr>
            <w:tcW w:w="3956" w:type="dxa"/>
          </w:tcPr>
          <w:p w:rsidR="00036E5D" w:rsidRPr="005C4B9C" w:rsidRDefault="00036E5D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 xml:space="preserve">6.5.3. </w:t>
            </w:r>
            <w:r w:rsidRPr="00FA16FE">
              <w:rPr>
                <w:szCs w:val="22"/>
              </w:rPr>
              <w:t>Budú údaje poskytované režimom podľa zákona č. 177/2018 Z.z. v znení neskorších predpisov alebo iným obdobným spôsobom, ktorý zabezpečí, aby si údaje orgán</w:t>
            </w:r>
            <w:r>
              <w:rPr>
                <w:szCs w:val="22"/>
              </w:rPr>
              <w:t>, ktorý konanie vedie,</w:t>
            </w:r>
            <w:r w:rsidRPr="00FA16FE">
              <w:rPr>
                <w:szCs w:val="22"/>
              </w:rPr>
              <w:t xml:space="preserve"> získaval </w:t>
            </w:r>
            <w:r>
              <w:rPr>
                <w:szCs w:val="22"/>
              </w:rPr>
              <w:t>z úradnej moci</w:t>
            </w:r>
            <w:r w:rsidRPr="00FA16FE">
              <w:rPr>
                <w:szCs w:val="22"/>
              </w:rPr>
              <w:t xml:space="preserve"> a nemuseli mu byť predkladané</w:t>
            </w:r>
            <w:r>
              <w:rPr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subjektom súkromného práva, </w:t>
            </w:r>
            <w:r w:rsidRPr="001E754E">
              <w:rPr>
                <w:bCs/>
                <w:szCs w:val="22"/>
              </w:rPr>
              <w:t>navrhovateľ</w:t>
            </w:r>
            <w:r>
              <w:rPr>
                <w:bCs/>
                <w:szCs w:val="22"/>
              </w:rPr>
              <w:t xml:space="preserve">om, </w:t>
            </w:r>
            <w:r w:rsidRPr="001E754E">
              <w:rPr>
                <w:bCs/>
                <w:szCs w:val="22"/>
              </w:rPr>
              <w:t>žiadateľ</w:t>
            </w:r>
            <w:r>
              <w:rPr>
                <w:bCs/>
                <w:szCs w:val="22"/>
              </w:rPr>
              <w:t>om, účastníkom konania (ďalej len „účastník konania“)</w:t>
            </w:r>
            <w:r w:rsidRPr="00FA16FE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36E5D" w:rsidRPr="00F04CCD" w:rsidTr="00036E5D">
              <w:sdt>
                <w:sdtPr>
                  <w:id w:val="17828451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36E5D" w:rsidRPr="00F04CCD" w:rsidRDefault="00CB6E1B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36E5D" w:rsidRPr="00F04CCD" w:rsidRDefault="00036E5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036E5D" w:rsidRPr="00F04CCD" w:rsidTr="00036E5D">
              <w:sdt>
                <w:sdtPr>
                  <w:id w:val="178268244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36E5D" w:rsidRPr="00F04CCD" w:rsidRDefault="00CB6E1B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36E5D" w:rsidRPr="00F04CCD" w:rsidRDefault="00036E5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036E5D" w:rsidRPr="00FA16FE" w:rsidRDefault="00036E5D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36E5D" w:rsidRPr="001E754E" w:rsidRDefault="00036E5D" w:rsidP="00036E5D">
            <w:pPr>
              <w:rPr>
                <w:sz w:val="24"/>
                <w:szCs w:val="24"/>
              </w:rPr>
            </w:pPr>
            <w:r w:rsidRPr="001E754E">
              <w:rPr>
                <w:szCs w:val="22"/>
              </w:rPr>
              <w:t xml:space="preserve">Údaje </w:t>
            </w:r>
            <w:r w:rsidR="00476792">
              <w:rPr>
                <w:szCs w:val="22"/>
              </w:rPr>
              <w:t>musí</w:t>
            </w:r>
            <w:r w:rsidR="00CB6E1B">
              <w:rPr>
                <w:szCs w:val="22"/>
              </w:rPr>
              <w:t xml:space="preserve"> predkladať žiadateľ z dôvodu nevyhnutnosti posudzovať bezpečnostnú </w:t>
            </w:r>
            <w:r w:rsidR="00476792">
              <w:rPr>
                <w:szCs w:val="22"/>
              </w:rPr>
              <w:t>spoľahlivosť</w:t>
            </w:r>
            <w:r w:rsidR="00CB6E1B">
              <w:rPr>
                <w:szCs w:val="22"/>
              </w:rPr>
              <w:t xml:space="preserve"> podľa § 14 ods. 1 zákona.</w:t>
            </w:r>
          </w:p>
        </w:tc>
      </w:tr>
      <w:tr w:rsidR="00036E5D" w:rsidRPr="005C4B9C" w:rsidTr="00036E5D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:rsidR="00036E5D" w:rsidRPr="005C4B9C" w:rsidRDefault="00036E5D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6.5.4. </w:t>
            </w:r>
            <w:r w:rsidRPr="00FC10E0">
              <w:rPr>
                <w:szCs w:val="22"/>
              </w:rPr>
              <w:t xml:space="preserve">Ak </w:t>
            </w:r>
            <w:r>
              <w:rPr>
                <w:szCs w:val="22"/>
              </w:rPr>
              <w:t xml:space="preserve">si orgán, ktorý konanie vedie, údaje nebude získavať z úradnej moci ale mu budú predkladané účastníkom konania, </w:t>
            </w:r>
            <w:r w:rsidRPr="00FC10E0">
              <w:rPr>
                <w:szCs w:val="22"/>
              </w:rPr>
              <w:t xml:space="preserve">je v návrhu upravené prechodné obdobie, po ktorého uplynutí </w:t>
            </w:r>
            <w:r w:rsidRPr="00FA16FE">
              <w:rPr>
                <w:szCs w:val="22"/>
              </w:rPr>
              <w:t>si údaje orgán</w:t>
            </w:r>
            <w:r>
              <w:rPr>
                <w:szCs w:val="22"/>
              </w:rPr>
              <w:t>, ktorý konanie vedie, bude získavať z úradnej moci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36E5D" w:rsidRPr="00F04CCD" w:rsidTr="00036E5D">
              <w:sdt>
                <w:sdtPr>
                  <w:id w:val="-5136032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36E5D" w:rsidRPr="00F04CCD" w:rsidRDefault="00036E5D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36E5D" w:rsidRPr="00F04CCD" w:rsidRDefault="00036E5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036E5D" w:rsidRPr="00F04CCD" w:rsidTr="00036E5D">
              <w:sdt>
                <w:sdtPr>
                  <w:id w:val="-32359149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036E5D" w:rsidRPr="00F04CCD" w:rsidRDefault="00036E5D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036E5D" w:rsidRPr="00F04CCD" w:rsidRDefault="00036E5D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036E5D" w:rsidRPr="00FA16FE" w:rsidRDefault="00036E5D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36E5D" w:rsidRPr="005C4B9C" w:rsidRDefault="00476792" w:rsidP="00036E5D">
            <w:pPr>
              <w:rPr>
                <w:i/>
                <w:iCs/>
                <w:sz w:val="24"/>
                <w:szCs w:val="24"/>
              </w:rPr>
            </w:pPr>
            <w:r w:rsidRPr="001E754E">
              <w:rPr>
                <w:szCs w:val="22"/>
              </w:rPr>
              <w:t xml:space="preserve">Údaje </w:t>
            </w:r>
            <w:r>
              <w:rPr>
                <w:szCs w:val="22"/>
              </w:rPr>
              <w:t>musí predkladať žiadateľ z dôvodu nevyhnutnosti posudzovať bezpečnostnú spoľahlivosť podľa § 14 ods. 1 zákona.</w:t>
            </w:r>
          </w:p>
        </w:tc>
      </w:tr>
    </w:tbl>
    <w:p w:rsidR="00036E5D" w:rsidRDefault="00036E5D" w:rsidP="00AA3832">
      <w:pPr>
        <w:spacing w:after="200"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5650D1" w:rsidRPr="001E754E" w:rsidRDefault="005650D1" w:rsidP="005650D1">
      <w:pPr>
        <w:spacing w:after="200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Výmena údajov medzi orgánmi verejnej moci</w:t>
      </w:r>
    </w:p>
    <w:p w:rsidR="005650D1" w:rsidRDefault="004737A4" w:rsidP="005650D1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Pendantom povinnosti orgánov verejnej moci používať údaje v konaniach z úradnej moci a nežiadať si ich predkladanie účastníkmi konania je povinnosť tých orgánov, ktoré údajmi disponujú, poskytnúť ich orgánu, ktorý ich na plnenie úloh potrebuje. Ďalším rozmerom výmeny údajov je aj ich používanie v prípadoch, kedy sa nejedná o konanie o právach, právom chránených záujmoch a povinnostiach, ale výmena údajov je potrebná na riadne plnenie zákonom ustanovených povinností.</w:t>
      </w:r>
    </w:p>
    <w:p w:rsidR="004737A4" w:rsidRDefault="00AD042A" w:rsidP="005650D1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Keďže orgán verejnej moci môže robiť len to, čo mu zákon dovoľuje, musí mať aj poskytovanie údajov zákonnú oporu. V tomto smere je referenčnou úprava zákona č. 177/2018 Z.z., ktorá nielen výslovne ustanovuje evidencie, z ktorých sa údaje povinne poskytujú, ale pri rozširovaní zoznamu týchto evidencií zároveň v osobitných predpisoch ruší povinnosť predkladania údajov účastníkmi konaní, resp. zavádza povinnosť ich získavania z úradnej moci. </w:t>
      </w:r>
    </w:p>
    <w:p w:rsidR="00AD042A" w:rsidRDefault="00AD042A" w:rsidP="005650D1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V praxi právnych úprav mimo zákona č. 177/2018 Z.z. sa vyskytujú v zásade dva spôsoby úpravy poskytovania údajov. Prvým je taxatívne vymenovanie údajov a/alebo subjektov, ktorým je možné z konkrétnej evidencie údaje poskytnúť, prípadne na aký konkrétny účel. Druhým je všeobecné vyjadrenie možnosti poskytnúť údaje druhovo určenej skupine subjektov na plnenie zákonom ustanovených úloh vo všeobecnosti. </w:t>
      </w:r>
    </w:p>
    <w:p w:rsidR="00700FAA" w:rsidRDefault="00166D6B" w:rsidP="00700FAA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V tejto časti sa hodnotí miera dostupnosti údajov pre orgány verejnej moci na plnenie ich zákonných úloh a spôsob ich poskytovania. </w:t>
      </w:r>
      <w:r w:rsidR="004556B7">
        <w:rPr>
          <w:rFonts w:eastAsia="Calibri"/>
          <w:color w:val="000000"/>
          <w:sz w:val="24"/>
          <w:szCs w:val="24"/>
          <w:lang w:eastAsia="en-US"/>
        </w:rPr>
        <w:t xml:space="preserve">Žiadaným stavom je </w:t>
      </w:r>
      <w:r w:rsidR="00700FAA">
        <w:rPr>
          <w:rFonts w:eastAsia="Calibri"/>
          <w:color w:val="000000"/>
          <w:sz w:val="24"/>
          <w:szCs w:val="24"/>
          <w:lang w:eastAsia="en-US"/>
        </w:rPr>
        <w:t>taká právna úprava, ktorá nielen umožňuje zdieľanie a využívanie údajov orgánmi verejnej moci ale zároveň je dostatočne všeobecná, aby sa vzťahovala na všetky prípady plnenia zákonom ustanovených úloh a súčasne ukladala povinnosť orgánom verejnej moci údaje si navzájom poskytovať, bezodplatne a automatizovaným spôsobom. Z hľadiska spôsobu poskytovania údajov a vychádzajúc aj z princípu využívania existujúcich centrálnych riešení v informačných technológiách je vhodným riešením využitie modulu procesnej integrácie a integrácie údajov podľa § 10 ods. 11 zákona o e-Governmente</w:t>
      </w:r>
      <w:r w:rsidR="00342228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="00342228" w:rsidRPr="00F14E8D">
        <w:rPr>
          <w:rFonts w:eastAsia="Calibri"/>
          <w:color w:val="000000"/>
          <w:sz w:val="24"/>
          <w:szCs w:val="24"/>
          <w:lang w:eastAsia="en-US"/>
        </w:rPr>
        <w:t>ktorý je centrálnou platformou na poskytovanie údajov medzi OVM na účely plnenia zákonných úloh, pričom jeho funkcionalitou je aj evidovanie rolí a oprávnení na automatizované získavanie údajov</w:t>
      </w:r>
      <w:r w:rsidR="00342228">
        <w:rPr>
          <w:rFonts w:eastAsia="Calibri"/>
          <w:color w:val="000000"/>
          <w:sz w:val="24"/>
          <w:szCs w:val="24"/>
          <w:lang w:eastAsia="en-US"/>
        </w:rPr>
        <w:t xml:space="preserve"> a zabezpečenie integrity </w:t>
      </w:r>
      <w:r w:rsidR="00342228">
        <w:rPr>
          <w:rFonts w:eastAsia="Calibri"/>
          <w:color w:val="000000"/>
          <w:sz w:val="24"/>
          <w:szCs w:val="24"/>
          <w:lang w:eastAsia="en-US"/>
        </w:rPr>
        <w:lastRenderedPageBreak/>
        <w:t>poskytovaných údajov.</w:t>
      </w:r>
      <w:r w:rsidR="009D67BE">
        <w:rPr>
          <w:rFonts w:eastAsia="Calibri"/>
          <w:color w:val="000000"/>
          <w:sz w:val="24"/>
          <w:szCs w:val="24"/>
          <w:lang w:eastAsia="en-US"/>
        </w:rPr>
        <w:t xml:space="preserve"> Takto nastavená právna úprava je úpravou s pozitívnym vplyvom na informatizáciu.</w:t>
      </w:r>
    </w:p>
    <w:p w:rsidR="004556B7" w:rsidRDefault="009D67BE" w:rsidP="005650D1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Vyššie uvedené rešpektuje aj výnimky, ktoré môžu byť odôvodnené povahou údajov a systémov, z ktorých sa poskytujú, najmä ak ide o údaje, ktoré sú utajovanou skutočnosťou. Inými slovami, obmedzenie vyššie uvedeného žiadaného stavu je prípustné vtedy, ak je to nevyhnutné na naplnenie účelu ochrany konkrétneho záujmu a zároveň je to obmedzenie len v nevyhnutnej miere.</w:t>
      </w:r>
    </w:p>
    <w:p w:rsidR="00CE2598" w:rsidRDefault="00CE2598" w:rsidP="00CE2598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E754E">
        <w:rPr>
          <w:rFonts w:eastAsia="Calibri"/>
          <w:i/>
          <w:iCs/>
          <w:color w:val="000000"/>
          <w:sz w:val="24"/>
          <w:szCs w:val="24"/>
          <w:lang w:eastAsia="en-US"/>
        </w:rPr>
        <w:t>Príklad</w:t>
      </w:r>
      <w:r>
        <w:rPr>
          <w:rFonts w:eastAsia="Calibri"/>
          <w:color w:val="000000"/>
          <w:sz w:val="24"/>
          <w:szCs w:val="24"/>
          <w:lang w:eastAsia="en-US"/>
        </w:rPr>
        <w:t>:</w:t>
      </w:r>
    </w:p>
    <w:p w:rsidR="004556B7" w:rsidRDefault="00CE2598" w:rsidP="00CE2598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Zákonom č. 272/2015 Z.z. bol zriadení register právnických osôb, podnikateľov a orgánov verejnej moci</w:t>
      </w:r>
      <w:r w:rsidR="00A00598">
        <w:rPr>
          <w:rFonts w:eastAsia="Calibri"/>
          <w:color w:val="000000"/>
          <w:sz w:val="24"/>
          <w:szCs w:val="24"/>
          <w:lang w:eastAsia="en-US"/>
        </w:rPr>
        <w:t>. V § 7 ods. 1 tohto zákona bolo v čase prijatia zákona upravené poskytovanie údajov z neho v plnom rozsahu, ako automatizované, bezodplatné, elektronické, na účely plnenia úloh podľa osobitných predpisov pre orgány verejnej moci, osoby, ktorým bol výkon verejnej moci zverený, členské štáty EÚ a iné štáty, ak tak vyplýva z medzinárodnej zmluvy, ktorou je SR viazaná</w:t>
      </w:r>
      <w:r w:rsidR="00F0694A">
        <w:rPr>
          <w:rFonts w:eastAsia="Calibri"/>
          <w:color w:val="000000"/>
          <w:sz w:val="24"/>
          <w:szCs w:val="24"/>
          <w:lang w:eastAsia="en-US"/>
        </w:rPr>
        <w:t>.</w:t>
      </w:r>
    </w:p>
    <w:p w:rsidR="00F0694A" w:rsidRPr="001E754E" w:rsidRDefault="00F0694A" w:rsidP="00CE2598">
      <w:pPr>
        <w:spacing w:after="200"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Analýza vplyvov v časti 6.6 by sa pre tento prípad vyplnila nasledovne: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3969"/>
      </w:tblGrid>
      <w:tr w:rsidR="005650D1" w:rsidRPr="00F4692C" w:rsidTr="00036E5D">
        <w:trPr>
          <w:trHeight w:val="20"/>
        </w:trPr>
        <w:tc>
          <w:tcPr>
            <w:tcW w:w="9371" w:type="dxa"/>
            <w:gridSpan w:val="3"/>
            <w:shd w:val="pct25" w:color="auto" w:fill="auto"/>
          </w:tcPr>
          <w:p w:rsidR="005650D1" w:rsidRPr="00F4692C" w:rsidRDefault="005650D1" w:rsidP="00036E5D">
            <w:pPr>
              <w:spacing w:line="20" w:lineRule="atLeast"/>
              <w:ind w:hanging="55"/>
              <w:jc w:val="center"/>
              <w:rPr>
                <w:i/>
                <w:iCs/>
              </w:rPr>
            </w:pPr>
            <w:r w:rsidRPr="00F4692C">
              <w:rPr>
                <w:b/>
              </w:rPr>
              <w:t>Výmena údajov medzi orgánmi verejnej moci</w:t>
            </w:r>
          </w:p>
        </w:tc>
      </w:tr>
      <w:tr w:rsidR="005650D1" w:rsidRPr="005C4B9C" w:rsidTr="00036E5D">
        <w:trPr>
          <w:trHeight w:val="20"/>
        </w:trPr>
        <w:tc>
          <w:tcPr>
            <w:tcW w:w="3956" w:type="dxa"/>
          </w:tcPr>
          <w:p w:rsidR="005650D1" w:rsidRPr="005C4B9C" w:rsidRDefault="005650D1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6.6.1. </w:t>
            </w:r>
            <w:r>
              <w:rPr>
                <w:szCs w:val="22"/>
              </w:rPr>
              <w:t>Predpokladá predložený návrh zriadenie novej evidencie údajov alebo upravuje vedenie evidencie údajov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5650D1" w:rsidRPr="00F04CCD" w:rsidTr="00036E5D">
              <w:sdt>
                <w:sdtPr>
                  <w:id w:val="27407521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650D1" w:rsidRPr="00F04CCD" w:rsidRDefault="00F0694A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5650D1" w:rsidRPr="00F04CCD" w:rsidTr="00036E5D">
              <w:sdt>
                <w:sdtPr>
                  <w:id w:val="-726532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650D1" w:rsidRPr="00F04CCD" w:rsidRDefault="005650D1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5650D1" w:rsidRPr="00FA16FE" w:rsidRDefault="005650D1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650D1" w:rsidRPr="00F14E8D" w:rsidRDefault="00F0694A" w:rsidP="00036E5D">
            <w:pPr>
              <w:rPr>
                <w:sz w:val="24"/>
                <w:szCs w:val="24"/>
              </w:rPr>
            </w:pPr>
            <w:r w:rsidRPr="00F14E8D">
              <w:rPr>
                <w:szCs w:val="22"/>
              </w:rPr>
              <w:t>Register právnických osôb, podnikateľov a orgánov verejnej moci.</w:t>
            </w:r>
          </w:p>
        </w:tc>
      </w:tr>
      <w:tr w:rsidR="005650D1" w:rsidRPr="005C4B9C" w:rsidTr="00036E5D">
        <w:trPr>
          <w:trHeight w:val="20"/>
        </w:trPr>
        <w:tc>
          <w:tcPr>
            <w:tcW w:w="3956" w:type="dxa"/>
          </w:tcPr>
          <w:p w:rsidR="005650D1" w:rsidRPr="005C4B9C" w:rsidRDefault="005650D1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6.6.2. </w:t>
            </w:r>
            <w:r>
              <w:rPr>
                <w:szCs w:val="22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5650D1" w:rsidRPr="00F04CCD" w:rsidTr="00036E5D">
              <w:sdt>
                <w:sdtPr>
                  <w:id w:val="-32890108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650D1" w:rsidRPr="00F04CCD" w:rsidRDefault="00F0694A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5650D1" w:rsidRPr="00F04CCD" w:rsidTr="00036E5D">
              <w:sdt>
                <w:sdtPr>
                  <w:id w:val="-13274311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650D1" w:rsidRPr="00F04CCD" w:rsidRDefault="005650D1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5650D1" w:rsidRPr="00FA16FE" w:rsidRDefault="005650D1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650D1" w:rsidRPr="00F14E8D" w:rsidRDefault="00F0694A" w:rsidP="00036E5D">
            <w:pPr>
              <w:rPr>
                <w:sz w:val="24"/>
                <w:szCs w:val="24"/>
              </w:rPr>
            </w:pPr>
            <w:r w:rsidRPr="00F14E8D">
              <w:rPr>
                <w:szCs w:val="22"/>
              </w:rPr>
              <w:t xml:space="preserve">Údaje sa poskytujú v elektronickej podobe, automatizovaným spôsobom, bezodplatne a v rozsahu plnenia úloh podľa osobitných predpisov orgánom štátnej správy, súdom, obciam a vyšším územným celkom a iným orgánom verejnej moci, fyzickým osobám a právnickým osobám, ktorým bol zverený výkon úloh podľa osobitných predpisov, a iným členským štátom Európskej únie alebo tretím štátom, ak tak ustanovuje medzinárodná zmluva, ktorou je Slovenská republika viazaná. </w:t>
            </w:r>
          </w:p>
        </w:tc>
      </w:tr>
      <w:tr w:rsidR="005650D1" w:rsidRPr="005C4B9C" w:rsidTr="00036E5D">
        <w:trPr>
          <w:trHeight w:val="20"/>
        </w:trPr>
        <w:tc>
          <w:tcPr>
            <w:tcW w:w="3956" w:type="dxa"/>
          </w:tcPr>
          <w:p w:rsidR="005650D1" w:rsidRPr="005C4B9C" w:rsidRDefault="005650D1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6.6.3. </w:t>
            </w:r>
            <w:r>
              <w:rPr>
                <w:szCs w:val="22"/>
              </w:rPr>
              <w:t>Je zabezpečené poskytovanie údajov z evidencie elektronicky a automatizovaným spôsobom</w:t>
            </w:r>
            <w:r w:rsidRPr="00FC10E0"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5650D1" w:rsidRPr="00F04CCD" w:rsidTr="00036E5D">
              <w:sdt>
                <w:sdtPr>
                  <w:id w:val="1329482266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650D1" w:rsidRPr="00F04CCD" w:rsidRDefault="00F0694A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5650D1" w:rsidRPr="00F04CCD" w:rsidTr="00036E5D">
              <w:sdt>
                <w:sdtPr>
                  <w:id w:val="638693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650D1" w:rsidRPr="00F04CCD" w:rsidRDefault="005650D1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5650D1" w:rsidRPr="00FA16FE" w:rsidRDefault="005650D1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650D1" w:rsidRPr="00F14E8D" w:rsidRDefault="00F0694A" w:rsidP="00036E5D">
            <w:pPr>
              <w:rPr>
                <w:sz w:val="24"/>
                <w:szCs w:val="24"/>
              </w:rPr>
            </w:pPr>
            <w:r w:rsidRPr="00F14E8D">
              <w:rPr>
                <w:szCs w:val="22"/>
              </w:rPr>
              <w:t>Poskytovanie je zabezpečené elektronicky a automatizovaným spôsobom.</w:t>
            </w:r>
            <w:r w:rsidR="005650D1" w:rsidRPr="00F0694A">
              <w:t xml:space="preserve"> </w:t>
            </w:r>
          </w:p>
        </w:tc>
      </w:tr>
      <w:tr w:rsidR="005650D1" w:rsidRPr="005C4B9C" w:rsidTr="00036E5D">
        <w:trPr>
          <w:trHeight w:val="20"/>
        </w:trPr>
        <w:tc>
          <w:tcPr>
            <w:tcW w:w="3956" w:type="dxa"/>
          </w:tcPr>
          <w:p w:rsidR="005650D1" w:rsidRPr="005C4B9C" w:rsidRDefault="005650D1" w:rsidP="00036E5D">
            <w:pPr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6.6.4. </w:t>
            </w:r>
            <w:r>
              <w:rPr>
                <w:szCs w:val="22"/>
              </w:rPr>
              <w:t xml:space="preserve">Je na poskytovanie údajov z evidencie využitý režim podľa zákona č. </w:t>
            </w:r>
            <w:r w:rsidRPr="00FA16FE">
              <w:rPr>
                <w:szCs w:val="22"/>
              </w:rPr>
              <w:t>177/2018 Z.z. v znení neskorších predpisov</w:t>
            </w:r>
            <w:r>
              <w:rPr>
                <w:szCs w:val="22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5650D1" w:rsidRPr="00F04CCD" w:rsidTr="00036E5D">
              <w:sdt>
                <w:sdtPr>
                  <w:id w:val="-49110163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650D1" w:rsidRPr="00F04CCD" w:rsidRDefault="00F0694A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5650D1" w:rsidRPr="00F04CCD" w:rsidTr="00036E5D">
              <w:sdt>
                <w:sdtPr>
                  <w:id w:val="-16203792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650D1" w:rsidRPr="00F04CCD" w:rsidRDefault="005650D1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5650D1" w:rsidRPr="00FA16FE" w:rsidRDefault="005650D1" w:rsidP="00036E5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650D1" w:rsidRPr="005C4B9C" w:rsidRDefault="005650D1" w:rsidP="00036E5D">
            <w:pPr>
              <w:rPr>
                <w:i/>
                <w:iCs/>
                <w:sz w:val="24"/>
                <w:szCs w:val="24"/>
              </w:rPr>
            </w:pPr>
          </w:p>
        </w:tc>
      </w:tr>
    </w:tbl>
    <w:p w:rsidR="00AA3832" w:rsidRDefault="00AA3832" w:rsidP="007B124A">
      <w:pPr>
        <w:spacing w:after="200"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5650D1" w:rsidRPr="001E754E" w:rsidRDefault="005650D1" w:rsidP="005650D1">
      <w:pPr>
        <w:spacing w:after="200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b/>
          <w:bCs/>
          <w:color w:val="000000"/>
          <w:sz w:val="24"/>
          <w:szCs w:val="24"/>
          <w:lang w:eastAsia="en-US"/>
        </w:rPr>
        <w:t>Referenčné údaje</w:t>
      </w:r>
    </w:p>
    <w:p w:rsidR="005650D1" w:rsidRPr="00F14E8D" w:rsidRDefault="005650D1" w:rsidP="00F14E8D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14E8D">
        <w:rPr>
          <w:rFonts w:eastAsia="Calibri"/>
          <w:color w:val="000000"/>
          <w:sz w:val="24"/>
          <w:szCs w:val="24"/>
          <w:lang w:eastAsia="en-US"/>
        </w:rPr>
        <w:t xml:space="preserve">Cieľom zavedenia referenčných registrov je umožniť zdieľanie a využívanie údajov medzi informačnými systémami </w:t>
      </w:r>
      <w:r w:rsidR="003B62B4">
        <w:rPr>
          <w:rFonts w:eastAsia="Calibri"/>
          <w:color w:val="000000"/>
          <w:sz w:val="24"/>
          <w:szCs w:val="24"/>
          <w:lang w:eastAsia="en-US"/>
        </w:rPr>
        <w:t>orgánov verejnej moci</w:t>
      </w:r>
      <w:r w:rsidRPr="00F14E8D">
        <w:rPr>
          <w:rFonts w:eastAsia="Calibri"/>
          <w:color w:val="000000"/>
          <w:sz w:val="24"/>
          <w:szCs w:val="24"/>
          <w:lang w:eastAsia="en-US"/>
        </w:rPr>
        <w:t xml:space="preserve"> a ich poskytovanie pre výkon verejnej moci elektronicky. </w:t>
      </w:r>
    </w:p>
    <w:p w:rsidR="008847CC" w:rsidRDefault="005650D1" w:rsidP="003B62B4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F14E8D">
        <w:rPr>
          <w:rFonts w:eastAsia="Calibri"/>
          <w:color w:val="000000"/>
          <w:sz w:val="24"/>
          <w:szCs w:val="24"/>
          <w:lang w:eastAsia="en-US"/>
        </w:rPr>
        <w:t>Na základe domnienky správnosti referenčných údajov budú môcť orgány verejnej moci použiť referenčné údaje o subjektoch evidencie pre výkon verejnej moci elektronicky</w:t>
      </w:r>
      <w:r w:rsidR="007E08D9">
        <w:rPr>
          <w:rFonts w:eastAsia="Calibri"/>
          <w:color w:val="000000"/>
          <w:sz w:val="24"/>
          <w:szCs w:val="24"/>
          <w:lang w:eastAsia="en-US"/>
        </w:rPr>
        <w:t>.</w:t>
      </w:r>
      <w:r w:rsidRPr="00F14E8D">
        <w:rPr>
          <w:rFonts w:eastAsia="Calibri"/>
          <w:color w:val="000000"/>
          <w:sz w:val="24"/>
          <w:szCs w:val="24"/>
          <w:lang w:eastAsia="en-US"/>
        </w:rPr>
        <w:t xml:space="preserve"> Použitím referenčných údajov o subjektoch evidencie pre výkon verejnej moci elektronicky bude možné </w:t>
      </w:r>
      <w:r w:rsidRPr="00F14E8D">
        <w:rPr>
          <w:rFonts w:eastAsia="Calibri"/>
          <w:color w:val="000000"/>
          <w:sz w:val="24"/>
          <w:szCs w:val="24"/>
          <w:lang w:eastAsia="en-US"/>
        </w:rPr>
        <w:lastRenderedPageBreak/>
        <w:t>zrušiť povinnosti fyzických a právnických osôb predkladať pre účely správnych a iných konaní informácie, ktoré sú už vedené v referenčných registroch (</w:t>
      </w:r>
      <w:r w:rsidR="00504C5E">
        <w:rPr>
          <w:rFonts w:eastAsia="Calibri"/>
          <w:color w:val="000000"/>
          <w:sz w:val="24"/>
          <w:szCs w:val="24"/>
          <w:lang w:eastAsia="en-US"/>
        </w:rPr>
        <w:t xml:space="preserve">v súlade s </w:t>
      </w:r>
      <w:r w:rsidRPr="00F14E8D">
        <w:rPr>
          <w:rFonts w:eastAsia="Calibri"/>
          <w:color w:val="000000"/>
          <w:sz w:val="24"/>
          <w:szCs w:val="24"/>
          <w:lang w:eastAsia="en-US"/>
        </w:rPr>
        <w:t>princíp</w:t>
      </w:r>
      <w:r w:rsidR="00504C5E">
        <w:rPr>
          <w:rFonts w:eastAsia="Calibri"/>
          <w:color w:val="000000"/>
          <w:sz w:val="24"/>
          <w:szCs w:val="24"/>
          <w:lang w:eastAsia="en-US"/>
        </w:rPr>
        <w:t>om</w:t>
      </w:r>
      <w:r w:rsidRPr="00F14E8D">
        <w:rPr>
          <w:rFonts w:eastAsia="Calibri"/>
          <w:color w:val="000000"/>
          <w:sz w:val="24"/>
          <w:szCs w:val="24"/>
          <w:lang w:eastAsia="en-US"/>
        </w:rPr>
        <w:t xml:space="preserve"> „jedenkrát a</w:t>
      </w:r>
      <w:r w:rsidR="003B62B4">
        <w:rPr>
          <w:rFonts w:eastAsia="Calibri"/>
          <w:color w:val="000000"/>
          <w:sz w:val="24"/>
          <w:szCs w:val="24"/>
          <w:lang w:eastAsia="en-US"/>
        </w:rPr>
        <w:t> </w:t>
      </w:r>
      <w:r w:rsidRPr="00F14E8D">
        <w:rPr>
          <w:rFonts w:eastAsia="Calibri"/>
          <w:color w:val="000000"/>
          <w:sz w:val="24"/>
          <w:szCs w:val="24"/>
          <w:lang w:eastAsia="en-US"/>
        </w:rPr>
        <w:t>dosť</w:t>
      </w:r>
      <w:r w:rsidR="003B62B4">
        <w:rPr>
          <w:rFonts w:eastAsia="Calibri"/>
          <w:color w:val="000000"/>
          <w:sz w:val="24"/>
          <w:szCs w:val="24"/>
          <w:lang w:eastAsia="en-US"/>
        </w:rPr>
        <w:t>“).</w:t>
      </w:r>
      <w:r w:rsidR="00BA558F">
        <w:rPr>
          <w:rFonts w:eastAsia="Calibri"/>
          <w:color w:val="000000"/>
          <w:sz w:val="24"/>
          <w:szCs w:val="24"/>
          <w:lang w:eastAsia="en-US"/>
        </w:rPr>
        <w:t xml:space="preserve"> Zmyslom referenčných údajov je však aj zabezpečenie jednotnosti hodnôt údajov, ktoré vychádza z povinnosti </w:t>
      </w:r>
      <w:proofErr w:type="spellStart"/>
      <w:r w:rsidR="00BA558F">
        <w:rPr>
          <w:rFonts w:eastAsia="Calibri"/>
          <w:color w:val="000000"/>
          <w:sz w:val="24"/>
          <w:szCs w:val="24"/>
          <w:lang w:eastAsia="en-US"/>
        </w:rPr>
        <w:t>referencovať</w:t>
      </w:r>
      <w:proofErr w:type="spellEnd"/>
      <w:r w:rsidR="00BA558F">
        <w:rPr>
          <w:rFonts w:eastAsia="Calibri"/>
          <w:color w:val="000000"/>
          <w:sz w:val="24"/>
          <w:szCs w:val="24"/>
          <w:lang w:eastAsia="en-US"/>
        </w:rPr>
        <w:t xml:space="preserve"> (preberať údaj z referenčného registra) a nezapisovať ho do svojej evidencie. </w:t>
      </w:r>
    </w:p>
    <w:p w:rsidR="002759E7" w:rsidRDefault="002759E7" w:rsidP="003B62B4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V tejto časti sa hodnotí pripravenosť na vyhlásenie údajov za referenčné a výber údajov, ktoré sú vo vzťahu k danej evidencii referenčné.</w:t>
      </w:r>
    </w:p>
    <w:p w:rsidR="00BA558F" w:rsidRDefault="00BA558F" w:rsidP="00BA558F">
      <w:pPr>
        <w:spacing w:after="20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E754E">
        <w:rPr>
          <w:rFonts w:eastAsia="Calibri"/>
          <w:i/>
          <w:iCs/>
          <w:color w:val="000000"/>
          <w:sz w:val="24"/>
          <w:szCs w:val="24"/>
          <w:lang w:eastAsia="en-US"/>
        </w:rPr>
        <w:t>Príklad</w:t>
      </w:r>
      <w:r>
        <w:rPr>
          <w:rFonts w:eastAsia="Calibri"/>
          <w:color w:val="000000"/>
          <w:sz w:val="24"/>
          <w:szCs w:val="24"/>
          <w:lang w:eastAsia="en-US"/>
        </w:rPr>
        <w:t>:</w:t>
      </w:r>
    </w:p>
    <w:p w:rsidR="00BA558F" w:rsidRDefault="00BA558F" w:rsidP="00BA558F">
      <w:pPr>
        <w:spacing w:after="200" w:line="276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Zákon č. 272/2015 Z.z. bol už v čase jeho prípravy a prijímania vnímaný ako právny základ pre register, ktorý sa stane zdrojom referenčných údajov o subjektoch v ňom zapísaných. </w:t>
      </w:r>
    </w:p>
    <w:p w:rsidR="00BA558F" w:rsidRPr="001E754E" w:rsidRDefault="00BA558F" w:rsidP="00BA558F">
      <w:pPr>
        <w:spacing w:after="200"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Analýza vplyvov v časti 6.7 by sa pre tento prípad vyplnila nasledovne: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3969"/>
      </w:tblGrid>
      <w:tr w:rsidR="005650D1" w:rsidRPr="005C4B9C" w:rsidTr="00036E5D">
        <w:trPr>
          <w:trHeight w:val="20"/>
        </w:trPr>
        <w:tc>
          <w:tcPr>
            <w:tcW w:w="9371" w:type="dxa"/>
            <w:gridSpan w:val="3"/>
          </w:tcPr>
          <w:p w:rsidR="005650D1" w:rsidRPr="00FA16FE" w:rsidRDefault="005650D1" w:rsidP="00036E5D">
            <w:pPr>
              <w:spacing w:line="20" w:lineRule="atLeast"/>
              <w:ind w:hanging="55"/>
              <w:jc w:val="center"/>
              <w:rPr>
                <w:i/>
                <w:iCs/>
                <w:szCs w:val="22"/>
              </w:rPr>
            </w:pPr>
            <w:r>
              <w:rPr>
                <w:b/>
              </w:rPr>
              <w:t>Referenčné údaje</w:t>
            </w:r>
          </w:p>
        </w:tc>
      </w:tr>
      <w:tr w:rsidR="005650D1" w:rsidRPr="005C4B9C" w:rsidTr="00036E5D">
        <w:trPr>
          <w:trHeight w:val="20"/>
        </w:trPr>
        <w:tc>
          <w:tcPr>
            <w:tcW w:w="3956" w:type="dxa"/>
          </w:tcPr>
          <w:p w:rsidR="005650D1" w:rsidRPr="001E754E" w:rsidRDefault="005650D1" w:rsidP="007E08D9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556083">
              <w:rPr>
                <w:b/>
                <w:bCs/>
                <w:szCs w:val="22"/>
              </w:rPr>
              <w:t>7.1</w:t>
            </w:r>
            <w:r w:rsidRPr="00867E33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Predpokladá predložený návrh zriadenie novej evidencie údajov</w:t>
            </w:r>
            <w:r>
              <w:rPr>
                <w:szCs w:val="22"/>
              </w:rPr>
              <w:t xml:space="preserve"> alebo upravuje vedenie evidencie údajov</w:t>
            </w:r>
            <w:r w:rsidRPr="001E754E">
              <w:rPr>
                <w:szCs w:val="22"/>
              </w:rPr>
              <w:t xml:space="preserve">, </w:t>
            </w:r>
            <w:r>
              <w:rPr>
                <w:szCs w:val="22"/>
              </w:rPr>
              <w:t>ktoré budú navrhnuté na zaradenie</w:t>
            </w:r>
            <w:r w:rsidRPr="001E754E">
              <w:rPr>
                <w:szCs w:val="22"/>
              </w:rPr>
              <w:t xml:space="preserve"> do </w:t>
            </w:r>
            <w:r>
              <w:rPr>
                <w:szCs w:val="22"/>
              </w:rPr>
              <w:t>z</w:t>
            </w:r>
            <w:r w:rsidRPr="001E754E">
              <w:rPr>
                <w:szCs w:val="22"/>
              </w:rPr>
              <w:t xml:space="preserve">oznamu referenčných údajov </w:t>
            </w:r>
            <w:r>
              <w:rPr>
                <w:szCs w:val="22"/>
              </w:rPr>
              <w:t>podľa</w:t>
            </w:r>
            <w:r w:rsidRPr="001E754E">
              <w:rPr>
                <w:szCs w:val="22"/>
              </w:rPr>
              <w:t xml:space="preserve"> § 51 zákona č. 305/20</w:t>
            </w:r>
            <w:r w:rsidR="007E08D9">
              <w:rPr>
                <w:szCs w:val="22"/>
              </w:rPr>
              <w:t>1</w:t>
            </w:r>
            <w:r w:rsidRPr="001E754E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5650D1" w:rsidRPr="00F04CCD" w:rsidTr="00036E5D">
              <w:sdt>
                <w:sdtPr>
                  <w:id w:val="3614039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650D1" w:rsidRPr="00F04CCD" w:rsidRDefault="00BA558F" w:rsidP="00036E5D">
                      <w:pPr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Áno</w:t>
                  </w:r>
                </w:p>
              </w:tc>
            </w:tr>
            <w:tr w:rsidR="005650D1" w:rsidRPr="00F04CCD" w:rsidTr="00036E5D">
              <w:sdt>
                <w:sdtPr>
                  <w:id w:val="9976974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:rsidR="005650D1" w:rsidRPr="00F04CCD" w:rsidRDefault="005650D1" w:rsidP="00036E5D">
                      <w:pPr>
                        <w:jc w:val="center"/>
                      </w:pPr>
                      <w:r w:rsidRPr="00F04CCD">
                        <w:rPr>
                          <w:rFonts w:ascii="MS Mincho" w:eastAsia="MS Mincho" w:hAnsi="MS Mincho" w:cs="MS Mincho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  <w:r>
                    <w:rPr>
                      <w:b/>
                    </w:rPr>
                    <w:t>Nie</w:t>
                  </w:r>
                </w:p>
              </w:tc>
            </w:tr>
          </w:tbl>
          <w:p w:rsidR="005650D1" w:rsidRDefault="005650D1" w:rsidP="00036E5D">
            <w:pPr>
              <w:jc w:val="center"/>
            </w:pPr>
          </w:p>
        </w:tc>
        <w:tc>
          <w:tcPr>
            <w:tcW w:w="3969" w:type="dxa"/>
          </w:tcPr>
          <w:p w:rsidR="00BA558F" w:rsidRDefault="00580D23" w:rsidP="00580D23">
            <w:pPr>
              <w:rPr>
                <w:szCs w:val="22"/>
              </w:rPr>
            </w:pPr>
            <w:r>
              <w:rPr>
                <w:szCs w:val="22"/>
              </w:rPr>
              <w:t>Zriaďuje sa nový register</w:t>
            </w:r>
            <w:r w:rsidRPr="00597A4D">
              <w:rPr>
                <w:szCs w:val="22"/>
              </w:rPr>
              <w:t>.</w:t>
            </w:r>
            <w:r w:rsidR="007E08D9">
              <w:rPr>
                <w:szCs w:val="22"/>
              </w:rPr>
              <w:t xml:space="preserve"> </w:t>
            </w:r>
            <w:r w:rsidR="00BA558F" w:rsidRPr="001E754E">
              <w:rPr>
                <w:szCs w:val="22"/>
              </w:rPr>
              <w:t>Register právnických osôb, podnikateľov a orgánov verejnej moci</w:t>
            </w:r>
            <w:r w:rsidR="00BA558F">
              <w:rPr>
                <w:szCs w:val="22"/>
              </w:rPr>
              <w:t>.</w:t>
            </w:r>
          </w:p>
          <w:p w:rsidR="00BA558F" w:rsidRPr="00BA558F" w:rsidRDefault="00BA558F" w:rsidP="00036E5D">
            <w:pPr>
              <w:rPr>
                <w:szCs w:val="22"/>
              </w:rPr>
            </w:pPr>
            <w:r w:rsidRPr="00BA558F">
              <w:rPr>
                <w:szCs w:val="22"/>
              </w:rPr>
              <w:t xml:space="preserve">Referenčnými údajmi budú údaje o </w:t>
            </w:r>
          </w:p>
          <w:p w:rsidR="00BA558F" w:rsidRPr="00F14E8D" w:rsidRDefault="00BA558F" w:rsidP="00BA558F">
            <w:pPr>
              <w:pStyle w:val="Odsekzoznamu"/>
              <w:numPr>
                <w:ilvl w:val="0"/>
                <w:numId w:val="6"/>
              </w:numPr>
              <w:rPr>
                <w:szCs w:val="22"/>
              </w:rPr>
            </w:pPr>
            <w:r w:rsidRPr="00F14E8D">
              <w:rPr>
                <w:szCs w:val="22"/>
              </w:rPr>
              <w:t>právnickej osobe v rozsahu ...</w:t>
            </w:r>
          </w:p>
          <w:p w:rsidR="00BA558F" w:rsidRPr="00F14E8D" w:rsidRDefault="00BA558F" w:rsidP="00BA558F">
            <w:pPr>
              <w:pStyle w:val="Odsekzoznamu"/>
              <w:numPr>
                <w:ilvl w:val="0"/>
                <w:numId w:val="6"/>
              </w:numPr>
              <w:rPr>
                <w:szCs w:val="22"/>
              </w:rPr>
            </w:pPr>
            <w:r w:rsidRPr="00F14E8D">
              <w:rPr>
                <w:szCs w:val="22"/>
              </w:rPr>
              <w:t>fyzickej osobe podnikateľovi v rozsahu ...</w:t>
            </w:r>
          </w:p>
          <w:p w:rsidR="005650D1" w:rsidRPr="00F14E8D" w:rsidRDefault="00BA558F" w:rsidP="00F14E8D">
            <w:pPr>
              <w:pStyle w:val="Odsekzoznamu"/>
              <w:numPr>
                <w:ilvl w:val="0"/>
                <w:numId w:val="6"/>
              </w:numPr>
              <w:rPr>
                <w:i/>
                <w:iCs/>
                <w:szCs w:val="22"/>
              </w:rPr>
            </w:pPr>
            <w:r w:rsidRPr="00F14E8D">
              <w:rPr>
                <w:szCs w:val="22"/>
              </w:rPr>
              <w:t>orgáne verejnej moci v rozsahu ...</w:t>
            </w:r>
          </w:p>
        </w:tc>
      </w:tr>
      <w:tr w:rsidR="005650D1" w:rsidRPr="005C4B9C" w:rsidTr="00036E5D">
        <w:trPr>
          <w:trHeight w:val="20"/>
        </w:trPr>
        <w:tc>
          <w:tcPr>
            <w:tcW w:w="3956" w:type="dxa"/>
          </w:tcPr>
          <w:p w:rsidR="005650D1" w:rsidRPr="001E754E" w:rsidRDefault="005650D1" w:rsidP="007E08D9">
            <w:pPr>
              <w:jc w:val="both"/>
              <w:rPr>
                <w:szCs w:val="22"/>
              </w:rPr>
            </w:pPr>
            <w:r w:rsidRPr="002003D2">
              <w:rPr>
                <w:b/>
                <w:bCs/>
                <w:szCs w:val="22"/>
              </w:rPr>
              <w:t>6.</w:t>
            </w:r>
            <w:r w:rsidRPr="001E754E">
              <w:rPr>
                <w:b/>
                <w:bCs/>
                <w:szCs w:val="22"/>
              </w:rPr>
              <w:t>7.</w:t>
            </w:r>
            <w:r>
              <w:rPr>
                <w:b/>
                <w:bCs/>
                <w:szCs w:val="22"/>
              </w:rPr>
              <w:t>2</w:t>
            </w:r>
            <w:r w:rsidRPr="001E754E">
              <w:rPr>
                <w:b/>
                <w:bCs/>
                <w:szCs w:val="22"/>
              </w:rPr>
              <w:t>.</w:t>
            </w:r>
            <w:r w:rsidRPr="001E754E">
              <w:rPr>
                <w:szCs w:val="22"/>
              </w:rPr>
              <w:t xml:space="preserve"> </w:t>
            </w:r>
            <w:r>
              <w:rPr>
                <w:szCs w:val="22"/>
              </w:rPr>
              <w:t>Kedy je plánované zaradenie údajov z evidencie do zoznamu referenčných údajov podľa</w:t>
            </w:r>
            <w:r w:rsidRPr="001E754E">
              <w:rPr>
                <w:szCs w:val="22"/>
              </w:rPr>
              <w:t xml:space="preserve"> § 51 zákona č. 305/20</w:t>
            </w:r>
            <w:r w:rsidR="007E08D9">
              <w:rPr>
                <w:szCs w:val="22"/>
              </w:rPr>
              <w:t>1</w:t>
            </w:r>
            <w:r w:rsidRPr="001E754E">
              <w:rPr>
                <w:szCs w:val="22"/>
              </w:rPr>
              <w:t>3 Z.z. o e-Governmente?</w:t>
            </w:r>
          </w:p>
        </w:tc>
        <w:tc>
          <w:tcPr>
            <w:tcW w:w="1446" w:type="dxa"/>
          </w:tcPr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5650D1" w:rsidRPr="00F04CCD" w:rsidTr="00036E5D">
              <w:tc>
                <w:tcPr>
                  <w:tcW w:w="436" w:type="dxa"/>
                </w:tcPr>
                <w:p w:rsidR="005650D1" w:rsidRPr="00F04CCD" w:rsidRDefault="005650D1" w:rsidP="00036E5D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</w:p>
              </w:tc>
            </w:tr>
            <w:tr w:rsidR="005650D1" w:rsidRPr="00F04CCD" w:rsidTr="00036E5D">
              <w:tc>
                <w:tcPr>
                  <w:tcW w:w="436" w:type="dxa"/>
                </w:tcPr>
                <w:p w:rsidR="005650D1" w:rsidRPr="00F04CCD" w:rsidRDefault="005650D1" w:rsidP="00036E5D">
                  <w:pPr>
                    <w:jc w:val="center"/>
                  </w:pPr>
                </w:p>
              </w:tc>
              <w:tc>
                <w:tcPr>
                  <w:tcW w:w="8545" w:type="dxa"/>
                </w:tcPr>
                <w:p w:rsidR="005650D1" w:rsidRPr="00F04CCD" w:rsidRDefault="005650D1" w:rsidP="00036E5D">
                  <w:pPr>
                    <w:rPr>
                      <w:b/>
                    </w:rPr>
                  </w:pPr>
                </w:p>
              </w:tc>
            </w:tr>
          </w:tbl>
          <w:p w:rsidR="005650D1" w:rsidRDefault="005650D1" w:rsidP="00036E5D">
            <w:pPr>
              <w:jc w:val="center"/>
            </w:pPr>
          </w:p>
        </w:tc>
        <w:tc>
          <w:tcPr>
            <w:tcW w:w="3969" w:type="dxa"/>
          </w:tcPr>
          <w:p w:rsidR="005650D1" w:rsidRPr="00F14E8D" w:rsidRDefault="00BA558F" w:rsidP="00036E5D">
            <w:pPr>
              <w:rPr>
                <w:szCs w:val="22"/>
              </w:rPr>
            </w:pPr>
            <w:r w:rsidRPr="00F14E8D">
              <w:rPr>
                <w:szCs w:val="22"/>
              </w:rPr>
              <w:t>V priebehu roka 2016.</w:t>
            </w:r>
          </w:p>
        </w:tc>
      </w:tr>
    </w:tbl>
    <w:p w:rsidR="005650D1" w:rsidRPr="00852496" w:rsidRDefault="005650D1" w:rsidP="005650D1">
      <w:pPr>
        <w:jc w:val="both"/>
        <w:rPr>
          <w:b/>
          <w:bCs/>
          <w:i/>
          <w:sz w:val="24"/>
          <w:szCs w:val="24"/>
          <w:highlight w:val="yellow"/>
        </w:rPr>
      </w:pPr>
    </w:p>
    <w:p w:rsidR="005650D1" w:rsidRPr="00F14E8D" w:rsidRDefault="005650D1" w:rsidP="007B124A">
      <w:pPr>
        <w:spacing w:after="200" w:line="276" w:lineRule="auto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sectPr w:rsidR="005650D1" w:rsidRPr="00F1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4D" w:rsidRDefault="00B45E4D" w:rsidP="00CE634D">
      <w:r>
        <w:separator/>
      </w:r>
    </w:p>
  </w:endnote>
  <w:endnote w:type="continuationSeparator" w:id="0">
    <w:p w:rsidR="00B45E4D" w:rsidRDefault="00B45E4D" w:rsidP="00C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2044862360"/>
      <w:docPartObj>
        <w:docPartGallery w:val="Page Numbers (Bottom of Page)"/>
        <w:docPartUnique/>
      </w:docPartObj>
    </w:sdtPr>
    <w:sdtEndPr/>
    <w:sdtContent>
      <w:p w:rsidR="00623E03" w:rsidRPr="00CE634D" w:rsidRDefault="00623E03">
        <w:pPr>
          <w:pStyle w:val="Pta"/>
          <w:jc w:val="right"/>
          <w:rPr>
            <w:sz w:val="22"/>
          </w:rPr>
        </w:pPr>
        <w:r w:rsidRPr="00CE634D">
          <w:rPr>
            <w:sz w:val="22"/>
          </w:rPr>
          <w:fldChar w:fldCharType="begin"/>
        </w:r>
        <w:r w:rsidRPr="00CE634D">
          <w:rPr>
            <w:sz w:val="22"/>
          </w:rPr>
          <w:instrText>PAGE   \* MERGEFORMAT</w:instrText>
        </w:r>
        <w:r w:rsidRPr="00CE634D">
          <w:rPr>
            <w:sz w:val="22"/>
          </w:rPr>
          <w:fldChar w:fldCharType="separate"/>
        </w:r>
        <w:r w:rsidR="00066A94">
          <w:rPr>
            <w:noProof/>
            <w:sz w:val="22"/>
          </w:rPr>
          <w:t>3</w:t>
        </w:r>
        <w:r w:rsidRPr="00CE634D">
          <w:rPr>
            <w:sz w:val="22"/>
          </w:rPr>
          <w:fldChar w:fldCharType="end"/>
        </w:r>
      </w:p>
    </w:sdtContent>
  </w:sdt>
  <w:p w:rsidR="00623E03" w:rsidRDefault="00623E0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4D" w:rsidRDefault="00B45E4D" w:rsidP="00CE634D">
      <w:r>
        <w:separator/>
      </w:r>
    </w:p>
  </w:footnote>
  <w:footnote w:type="continuationSeparator" w:id="0">
    <w:p w:rsidR="00B45E4D" w:rsidRDefault="00B45E4D" w:rsidP="00CE634D">
      <w:r>
        <w:continuationSeparator/>
      </w:r>
    </w:p>
  </w:footnote>
  <w:footnote w:id="1">
    <w:p w:rsidR="00623E03" w:rsidRPr="00813CF5" w:rsidRDefault="00623E03" w:rsidP="00F4692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2E5051">
          <w:rPr>
            <w:rStyle w:val="Hypertextovprepojenie"/>
          </w:rPr>
          <w:t>https://www.mirri.gov.sk/sekcie/informatizacia/egovernment/sprava-architektury/centralny-metainfromacny-system-verejnej-spravy-metais/index.html</w:t>
        </w:r>
      </w:hyperlink>
      <w:r>
        <w:t xml:space="preserve"> </w:t>
      </w:r>
    </w:p>
  </w:footnote>
  <w:footnote w:id="2">
    <w:p w:rsidR="00623E03" w:rsidRPr="00813CF5" w:rsidRDefault="00623E03" w:rsidP="00F4692C">
      <w:pPr>
        <w:pStyle w:val="Textpoznmkypodiarou"/>
      </w:pPr>
      <w:r w:rsidRPr="00813CF5">
        <w:rPr>
          <w:rStyle w:val="Odkaznapoznmkupodiarou"/>
        </w:rPr>
        <w:footnoteRef/>
      </w:r>
      <w:r w:rsidRPr="00813CF5">
        <w:t xml:space="preserve"> </w:t>
      </w:r>
      <w:r w:rsidRPr="0067353A">
        <w:rPr>
          <w:rFonts w:eastAsia="Calibri"/>
          <w:color w:val="000000"/>
          <w:lang w:eastAsia="en-US"/>
        </w:rPr>
        <w:t>https://metais.vicepremier.gov.sk/help</w:t>
      </w:r>
      <w:r w:rsidRPr="0067353A">
        <w:rPr>
          <w:rFonts w:eastAsia="Calibri"/>
          <w:color w:val="0000FF"/>
          <w:u w:val="single"/>
          <w:lang w:eastAsia="en-US"/>
        </w:rPr>
        <w:t xml:space="preserve"> , časť „Zoznam hlavných kontaktných osôb s prístupom na zapisovanie údajov do MetaIS“.</w:t>
      </w:r>
    </w:p>
  </w:footnote>
  <w:footnote w:id="3">
    <w:p w:rsidR="00623E03" w:rsidRDefault="00623E03" w:rsidP="00F4692C">
      <w:pPr>
        <w:pStyle w:val="Textpoznmkypodiarou"/>
      </w:pPr>
      <w:r w:rsidRPr="00813CF5">
        <w:rPr>
          <w:rStyle w:val="Odkaznapoznmkupodiarou"/>
        </w:rPr>
        <w:footnoteRef/>
      </w:r>
      <w:r w:rsidRPr="00813CF5">
        <w:t xml:space="preserve"> </w:t>
      </w:r>
      <w:r w:rsidRPr="00840227">
        <w:rPr>
          <w:rFonts w:eastAsia="Calibri"/>
          <w:color w:val="000000"/>
          <w:lang w:eastAsia="en-US"/>
        </w:rPr>
        <w:t xml:space="preserve">§ </w:t>
      </w:r>
      <w:r>
        <w:rPr>
          <w:rFonts w:eastAsia="Calibri"/>
          <w:color w:val="000000"/>
          <w:lang w:eastAsia="en-US"/>
        </w:rPr>
        <w:t>3</w:t>
      </w:r>
      <w:r w:rsidRPr="00840227">
        <w:rPr>
          <w:rFonts w:eastAsia="Calibri"/>
          <w:color w:val="000000"/>
          <w:lang w:eastAsia="en-US"/>
        </w:rPr>
        <w:t xml:space="preserve">4 </w:t>
      </w:r>
      <w:r>
        <w:rPr>
          <w:rFonts w:eastAsia="Calibri"/>
          <w:color w:val="000000"/>
          <w:lang w:eastAsia="en-US"/>
        </w:rPr>
        <w:t>Vyhlášky ÚPVII</w:t>
      </w:r>
      <w:r w:rsidRPr="00840227">
        <w:rPr>
          <w:rFonts w:eastAsia="Calibri"/>
          <w:color w:val="000000"/>
          <w:lang w:eastAsia="en-US"/>
        </w:rPr>
        <w:t xml:space="preserve"> č. </w:t>
      </w:r>
      <w:r>
        <w:rPr>
          <w:rFonts w:eastAsia="Calibri"/>
          <w:color w:val="000000"/>
          <w:lang w:eastAsia="en-US"/>
        </w:rPr>
        <w:t>78</w:t>
      </w:r>
      <w:r w:rsidRPr="00840227">
        <w:rPr>
          <w:rFonts w:eastAsia="Calibri"/>
          <w:color w:val="000000"/>
          <w:lang w:eastAsia="en-US"/>
        </w:rPr>
        <w:t>/20</w:t>
      </w:r>
      <w:r>
        <w:rPr>
          <w:rFonts w:eastAsia="Calibri"/>
          <w:color w:val="000000"/>
          <w:lang w:eastAsia="en-US"/>
        </w:rPr>
        <w:t>20</w:t>
      </w:r>
      <w:r w:rsidRPr="00840227">
        <w:rPr>
          <w:rFonts w:eastAsia="Calibri"/>
          <w:color w:val="000000"/>
          <w:lang w:eastAsia="en-US"/>
        </w:rPr>
        <w:t xml:space="preserve"> Z. z. o štandardoch pre informačné </w:t>
      </w:r>
      <w:r>
        <w:rPr>
          <w:rFonts w:eastAsia="Calibri"/>
          <w:color w:val="000000"/>
          <w:lang w:eastAsia="en-US"/>
        </w:rPr>
        <w:t>technológie</w:t>
      </w:r>
      <w:r w:rsidRPr="00840227">
        <w:rPr>
          <w:rFonts w:eastAsia="Calibri"/>
          <w:color w:val="000000"/>
          <w:lang w:eastAsia="en-US"/>
        </w:rPr>
        <w:t xml:space="preserve"> verejnej správy</w:t>
      </w:r>
      <w:r>
        <w:rPr>
          <w:rFonts w:eastAsia="Calibri"/>
          <w:color w:val="000000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0FED"/>
    <w:multiLevelType w:val="hybridMultilevel"/>
    <w:tmpl w:val="33A22CA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B5FD4"/>
    <w:multiLevelType w:val="hybridMultilevel"/>
    <w:tmpl w:val="0900C92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D72"/>
    <w:multiLevelType w:val="hybridMultilevel"/>
    <w:tmpl w:val="96D6098E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5"/>
    <w:rsid w:val="00002515"/>
    <w:rsid w:val="0001364B"/>
    <w:rsid w:val="00036E5D"/>
    <w:rsid w:val="00037F91"/>
    <w:rsid w:val="00056FD5"/>
    <w:rsid w:val="00066A94"/>
    <w:rsid w:val="00074872"/>
    <w:rsid w:val="000952D1"/>
    <w:rsid w:val="000B2C31"/>
    <w:rsid w:val="000B3547"/>
    <w:rsid w:val="000C40DA"/>
    <w:rsid w:val="000C52E0"/>
    <w:rsid w:val="000D698A"/>
    <w:rsid w:val="000E09F1"/>
    <w:rsid w:val="000E2546"/>
    <w:rsid w:val="000F41B8"/>
    <w:rsid w:val="00114CD6"/>
    <w:rsid w:val="001243B7"/>
    <w:rsid w:val="00166D6B"/>
    <w:rsid w:val="001A4047"/>
    <w:rsid w:val="001D1E5D"/>
    <w:rsid w:val="001E13E1"/>
    <w:rsid w:val="002003D2"/>
    <w:rsid w:val="002019B9"/>
    <w:rsid w:val="0020346B"/>
    <w:rsid w:val="0022052B"/>
    <w:rsid w:val="00250DA7"/>
    <w:rsid w:val="00255BCB"/>
    <w:rsid w:val="002759E7"/>
    <w:rsid w:val="00282851"/>
    <w:rsid w:val="002D09E3"/>
    <w:rsid w:val="002D7B26"/>
    <w:rsid w:val="002F7173"/>
    <w:rsid w:val="00306731"/>
    <w:rsid w:val="00327E4D"/>
    <w:rsid w:val="00342228"/>
    <w:rsid w:val="003A38A8"/>
    <w:rsid w:val="003B62B4"/>
    <w:rsid w:val="003C08DD"/>
    <w:rsid w:val="003F6496"/>
    <w:rsid w:val="003F717F"/>
    <w:rsid w:val="00434278"/>
    <w:rsid w:val="00451528"/>
    <w:rsid w:val="004556B7"/>
    <w:rsid w:val="00457C32"/>
    <w:rsid w:val="004625F0"/>
    <w:rsid w:val="00464E17"/>
    <w:rsid w:val="004737A4"/>
    <w:rsid w:val="00476792"/>
    <w:rsid w:val="00485C0A"/>
    <w:rsid w:val="004A32F0"/>
    <w:rsid w:val="004A7FC6"/>
    <w:rsid w:val="004D2559"/>
    <w:rsid w:val="00504C5E"/>
    <w:rsid w:val="005053C8"/>
    <w:rsid w:val="00505CB8"/>
    <w:rsid w:val="00517395"/>
    <w:rsid w:val="005246A9"/>
    <w:rsid w:val="00556083"/>
    <w:rsid w:val="00563956"/>
    <w:rsid w:val="005650D1"/>
    <w:rsid w:val="00565C5E"/>
    <w:rsid w:val="00580D23"/>
    <w:rsid w:val="005B737D"/>
    <w:rsid w:val="005C4B9C"/>
    <w:rsid w:val="005C4DB2"/>
    <w:rsid w:val="005C70C4"/>
    <w:rsid w:val="005D4323"/>
    <w:rsid w:val="005E580A"/>
    <w:rsid w:val="00604EC2"/>
    <w:rsid w:val="00623E03"/>
    <w:rsid w:val="006471D9"/>
    <w:rsid w:val="00650263"/>
    <w:rsid w:val="00653D8A"/>
    <w:rsid w:val="00663C61"/>
    <w:rsid w:val="00673118"/>
    <w:rsid w:val="006A75AB"/>
    <w:rsid w:val="006B1AB7"/>
    <w:rsid w:val="006C3488"/>
    <w:rsid w:val="006C589F"/>
    <w:rsid w:val="006C6CFF"/>
    <w:rsid w:val="00700FAA"/>
    <w:rsid w:val="0070552A"/>
    <w:rsid w:val="00707914"/>
    <w:rsid w:val="00735F5D"/>
    <w:rsid w:val="0073701E"/>
    <w:rsid w:val="00753D6D"/>
    <w:rsid w:val="007668F5"/>
    <w:rsid w:val="007A6601"/>
    <w:rsid w:val="007B124A"/>
    <w:rsid w:val="007B6242"/>
    <w:rsid w:val="007D2F90"/>
    <w:rsid w:val="007E08D9"/>
    <w:rsid w:val="00805685"/>
    <w:rsid w:val="00810743"/>
    <w:rsid w:val="00830BE8"/>
    <w:rsid w:val="008321FD"/>
    <w:rsid w:val="00840227"/>
    <w:rsid w:val="008438FF"/>
    <w:rsid w:val="00852496"/>
    <w:rsid w:val="00852FDD"/>
    <w:rsid w:val="00864EEF"/>
    <w:rsid w:val="00867E33"/>
    <w:rsid w:val="008738C2"/>
    <w:rsid w:val="00876D3C"/>
    <w:rsid w:val="008847CC"/>
    <w:rsid w:val="008925A5"/>
    <w:rsid w:val="008C2601"/>
    <w:rsid w:val="008C43A5"/>
    <w:rsid w:val="008D1267"/>
    <w:rsid w:val="008D46FF"/>
    <w:rsid w:val="008E2724"/>
    <w:rsid w:val="008E5590"/>
    <w:rsid w:val="008F1FDA"/>
    <w:rsid w:val="0091072C"/>
    <w:rsid w:val="00931ECB"/>
    <w:rsid w:val="009443A2"/>
    <w:rsid w:val="009478F9"/>
    <w:rsid w:val="009519E6"/>
    <w:rsid w:val="009A6CB9"/>
    <w:rsid w:val="009B2E77"/>
    <w:rsid w:val="009B5D53"/>
    <w:rsid w:val="009B7CA5"/>
    <w:rsid w:val="009D67BE"/>
    <w:rsid w:val="009D751A"/>
    <w:rsid w:val="009F06F7"/>
    <w:rsid w:val="009F0E48"/>
    <w:rsid w:val="00A00598"/>
    <w:rsid w:val="00A1057A"/>
    <w:rsid w:val="00A23306"/>
    <w:rsid w:val="00A452D7"/>
    <w:rsid w:val="00A629FD"/>
    <w:rsid w:val="00A67CE8"/>
    <w:rsid w:val="00A8268D"/>
    <w:rsid w:val="00A91D2E"/>
    <w:rsid w:val="00A953B4"/>
    <w:rsid w:val="00AA3832"/>
    <w:rsid w:val="00AB36A5"/>
    <w:rsid w:val="00AD042A"/>
    <w:rsid w:val="00AE4625"/>
    <w:rsid w:val="00AF68C0"/>
    <w:rsid w:val="00B26E15"/>
    <w:rsid w:val="00B40655"/>
    <w:rsid w:val="00B45E4D"/>
    <w:rsid w:val="00B53AEA"/>
    <w:rsid w:val="00B573BA"/>
    <w:rsid w:val="00B93B35"/>
    <w:rsid w:val="00B955BB"/>
    <w:rsid w:val="00BA558F"/>
    <w:rsid w:val="00BA6C01"/>
    <w:rsid w:val="00BC2454"/>
    <w:rsid w:val="00BC2D66"/>
    <w:rsid w:val="00BE1A67"/>
    <w:rsid w:val="00C52339"/>
    <w:rsid w:val="00C54A6F"/>
    <w:rsid w:val="00C615C4"/>
    <w:rsid w:val="00C65373"/>
    <w:rsid w:val="00C73727"/>
    <w:rsid w:val="00C775A8"/>
    <w:rsid w:val="00C80982"/>
    <w:rsid w:val="00C94A4F"/>
    <w:rsid w:val="00CB26E9"/>
    <w:rsid w:val="00CB3623"/>
    <w:rsid w:val="00CB6E1B"/>
    <w:rsid w:val="00CC12F4"/>
    <w:rsid w:val="00CC3F65"/>
    <w:rsid w:val="00CE2598"/>
    <w:rsid w:val="00CE634D"/>
    <w:rsid w:val="00D228F8"/>
    <w:rsid w:val="00D26FDC"/>
    <w:rsid w:val="00D54754"/>
    <w:rsid w:val="00D564F5"/>
    <w:rsid w:val="00D812FD"/>
    <w:rsid w:val="00DA379B"/>
    <w:rsid w:val="00DD0829"/>
    <w:rsid w:val="00DD37A8"/>
    <w:rsid w:val="00E06A74"/>
    <w:rsid w:val="00E2133A"/>
    <w:rsid w:val="00E33A98"/>
    <w:rsid w:val="00E80A70"/>
    <w:rsid w:val="00E92BA8"/>
    <w:rsid w:val="00EC0DD5"/>
    <w:rsid w:val="00EC7A1A"/>
    <w:rsid w:val="00F05711"/>
    <w:rsid w:val="00F0694A"/>
    <w:rsid w:val="00F14E8D"/>
    <w:rsid w:val="00F35080"/>
    <w:rsid w:val="00F40DD6"/>
    <w:rsid w:val="00F43565"/>
    <w:rsid w:val="00F44576"/>
    <w:rsid w:val="00F4692C"/>
    <w:rsid w:val="00F80131"/>
    <w:rsid w:val="00F86CB5"/>
    <w:rsid w:val="00F93B27"/>
    <w:rsid w:val="00FA16FE"/>
    <w:rsid w:val="00FB002A"/>
    <w:rsid w:val="00FB4FEA"/>
    <w:rsid w:val="00FC10E0"/>
    <w:rsid w:val="00FC5360"/>
    <w:rsid w:val="00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B703D-4D03-44E3-9F5E-D43D7D86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E63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E634D"/>
    <w:rPr>
      <w:rFonts w:ascii="Times New Roman" w:eastAsia="Times New Roman" w:hAnsi="Times New Roman" w:cs="Times New Roman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FA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4692C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4692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4692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4692C"/>
    <w:rPr>
      <w:vertAlign w:val="superscript"/>
    </w:rPr>
  </w:style>
  <w:style w:type="paragraph" w:styleId="Odsekzoznamu">
    <w:name w:val="List Paragraph"/>
    <w:basedOn w:val="Normlny"/>
    <w:uiPriority w:val="34"/>
    <w:qFormat/>
    <w:rsid w:val="00F469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B4F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4FEA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apple-converted-space">
    <w:name w:val="apple-converted-space"/>
    <w:basedOn w:val="Predvolenpsmoodseku"/>
    <w:rsid w:val="00AA3832"/>
  </w:style>
  <w:style w:type="character" w:styleId="PouitHypertextovPrepojenie">
    <w:name w:val="FollowedHyperlink"/>
    <w:basedOn w:val="Predvolenpsmoodseku"/>
    <w:uiPriority w:val="99"/>
    <w:semiHidden/>
    <w:unhideWhenUsed/>
    <w:rsid w:val="00931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5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9/563/20200101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rri.gov.sk/sekcie/informatizacia/egovernment/sprava-architektury/centralny-metainfromacny-system-verejnej-spravy-metais/index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99722-0FB5-4C64-BB97-5929E7BD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6303</Words>
  <Characters>35931</Characters>
  <Application>Microsoft Office Word</Application>
  <DocSecurity>0</DocSecurity>
  <Lines>299</Lines>
  <Paragraphs>84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Petržel, Jaroslav</cp:lastModifiedBy>
  <cp:revision>9</cp:revision>
  <cp:lastPrinted>2022-09-29T06:07:00Z</cp:lastPrinted>
  <dcterms:created xsi:type="dcterms:W3CDTF">2022-08-19T10:58:00Z</dcterms:created>
  <dcterms:modified xsi:type="dcterms:W3CDTF">2023-07-21T09:23:00Z</dcterms:modified>
</cp:coreProperties>
</file>