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rsidTr="000800FC">
        <w:trPr>
          <w:trHeight w:val="20"/>
        </w:trPr>
        <w:tc>
          <w:tcPr>
            <w:tcW w:w="9371" w:type="dxa"/>
            <w:gridSpan w:val="6"/>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FC2B55">
              <w:rPr>
                <w:rFonts w:ascii="Times New Roman" w:eastAsia="Times New Roman" w:hAnsi="Times New Roman" w:cs="Times New Roman"/>
                <w:b/>
                <w:bCs/>
                <w:sz w:val="28"/>
                <w:szCs w:val="28"/>
                <w:lang w:eastAsia="sk-SK"/>
              </w:rPr>
              <w:t>Analýza vplyvov na informatizáciu spoločnosti</w:t>
            </w:r>
          </w:p>
          <w:p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rsidTr="000800FC">
        <w:trPr>
          <w:trHeight w:val="20"/>
        </w:trPr>
        <w:tc>
          <w:tcPr>
            <w:tcW w:w="9371" w:type="dxa"/>
            <w:gridSpan w:val="6"/>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rsidTr="000800FC">
        <w:trPr>
          <w:trHeight w:val="681"/>
        </w:trPr>
        <w:tc>
          <w:tcPr>
            <w:tcW w:w="395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134" w:type="dxa"/>
          </w:tcPr>
          <w:p w:rsidR="00FC2B55" w:rsidRPr="00FC2B55" w:rsidRDefault="00FC2B55" w:rsidP="00FC2B55">
            <w:pPr>
              <w:spacing w:after="0" w:line="240" w:lineRule="auto"/>
              <w:jc w:val="center"/>
              <w:rPr>
                <w:rFonts w:ascii="Times New Roman" w:eastAsia="Times New Roman" w:hAnsi="Times New Roman" w:cs="Times New Roman"/>
                <w:b/>
                <w:lang w:eastAsia="sk-SK"/>
              </w:rPr>
            </w:pPr>
          </w:p>
        </w:tc>
        <w:tc>
          <w:tcPr>
            <w:tcW w:w="1276" w:type="dxa"/>
            <w:gridSpan w:val="2"/>
          </w:tcPr>
          <w:p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559" w:type="dxa"/>
          </w:tcPr>
          <w:p w:rsidR="00FC2B55" w:rsidRPr="00FC2B55" w:rsidRDefault="00FC2B55" w:rsidP="00FC2B55">
            <w:pPr>
              <w:spacing w:after="0" w:line="240" w:lineRule="auto"/>
              <w:rPr>
                <w:rFonts w:ascii="Times New Roman" w:eastAsia="Times New Roman" w:hAnsi="Times New Roman" w:cs="Times New Roman"/>
                <w:b/>
                <w:i/>
                <w:lang w:eastAsia="sk-SK"/>
              </w:rPr>
            </w:pPr>
          </w:p>
        </w:tc>
      </w:tr>
      <w:tr w:rsidR="00FC2B55" w:rsidRPr="00FC2B55" w:rsidTr="000800FC">
        <w:trPr>
          <w:trHeight w:val="20"/>
        </w:trPr>
        <w:tc>
          <w:tcPr>
            <w:tcW w:w="395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134"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276" w:type="dxa"/>
            <w:gridSpan w:val="2"/>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55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3956" w:type="dxa"/>
            <w:shd w:val="clear" w:color="auto" w:fill="BFBFBF"/>
            <w:vAlign w:val="center"/>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4" w:type="dxa"/>
            <w:gridSpan w:val="2"/>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FC2B55" w:rsidRPr="00FC2B55" w:rsidTr="000800FC">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konanie ide.)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(Ak úprava konania je odlišná od úpravy v zákone o e-Governmente alebo ak je použitie zákona o e-Governmente vylúčené, uveďte čoho sa to týka a z akého dôvodu.)</w:t>
            </w:r>
          </w:p>
        </w:tc>
      </w:tr>
      <w:tr w:rsidR="00FC2B55" w:rsidRPr="00FC2B55" w:rsidTr="000800FC">
        <w:trPr>
          <w:trHeight w:val="20"/>
        </w:trPr>
        <w:tc>
          <w:tcPr>
            <w:tcW w:w="9371" w:type="dxa"/>
            <w:gridSpan w:val="6"/>
            <w:shd w:val="clear" w:color="auto" w:fill="BFBFBF"/>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aké údaje ide a v akom konaní.)</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61726159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o akú evidenciu ide.)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w:t>
            </w:r>
            <w:r w:rsidRPr="00FC2B55">
              <w:rPr>
                <w:rFonts w:ascii="Times New Roman" w:eastAsia="Times New Roman" w:hAnsi="Times New Roman" w:cs="Times New Roman"/>
                <w:sz w:val="20"/>
                <w:lang w:eastAsia="sk-SK"/>
              </w:rPr>
              <w:lastRenderedPageBreak/>
              <w:t xml:space="preserve">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 xml:space="preserve">(Uveďte, akým spôsobom budú údaje v konaní predkladané/preukazované. Ak sa vyžaduje </w:t>
            </w:r>
            <w:r w:rsidRPr="00FC2B55">
              <w:rPr>
                <w:rFonts w:ascii="Times New Roman" w:eastAsia="Times New Roman" w:hAnsi="Times New Roman" w:cs="Times New Roman"/>
                <w:i/>
                <w:iCs/>
                <w:sz w:val="20"/>
                <w:lang w:eastAsia="sk-SK"/>
              </w:rPr>
              <w:lastRenderedPageBreak/>
              <w:t>predloženie účastníkom konania, uveďte dôvod.)</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43976750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FC2B55" w:rsidRPr="00FC2B55" w:rsidTr="000800FC">
        <w:trPr>
          <w:trHeight w:val="20"/>
        </w:trPr>
        <w:tc>
          <w:tcPr>
            <w:tcW w:w="9371" w:type="dxa"/>
            <w:gridSpan w:val="6"/>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rFonts w:ascii="Times New Roman" w:eastAsia="Times New Roman" w:hAnsi="Times New Roman" w:cs="Times New Roman"/>
                <w:sz w:val="20"/>
                <w:szCs w:val="20"/>
                <w:lang w:eastAsia="sk-SK"/>
              </w:rPr>
              <w:t xml:space="preserve">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FC2B55" w:rsidRPr="00FC2B55" w:rsidTr="000800FC">
        <w:trPr>
          <w:trHeight w:val="20"/>
        </w:trPr>
        <w:tc>
          <w:tcPr>
            <w:tcW w:w="9371" w:type="dxa"/>
            <w:gridSpan w:val="6"/>
            <w:shd w:val="clear" w:color="auto" w:fill="A6A6A6"/>
          </w:tcPr>
          <w:p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5985797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i/>
                <w:iCs/>
                <w:sz w:val="20"/>
                <w:lang w:eastAsia="sk-SK"/>
              </w:rPr>
              <w:t>(Uveďte, kedy sa plánuje zaradenie vyššie uvedených údajov do zoznamu referenčných údajov.)</w:t>
            </w:r>
          </w:p>
        </w:tc>
      </w:tr>
    </w:tbl>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FC2B55" w:rsidRPr="00FC2B55" w:rsidRDefault="00FC2B55" w:rsidP="00FC2B55">
      <w:pP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br w:type="page"/>
      </w:r>
    </w:p>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FC2B55">
        <w:rPr>
          <w:rFonts w:ascii="Times New Roman" w:eastAsia="Calibri" w:hAnsi="Times New Roman" w:cs="Times New Roman"/>
          <w:b/>
          <w:bCs/>
          <w:color w:val="000000"/>
          <w:sz w:val="28"/>
          <w:szCs w:val="28"/>
        </w:rPr>
        <w:lastRenderedPageBreak/>
        <w:t xml:space="preserve">Metodický postup pre analýzu vplyvov na informatizáciu </w:t>
      </w:r>
    </w:p>
    <w:p w:rsidR="00FC2B55" w:rsidRPr="00FC2B55" w:rsidRDefault="00FC2B55" w:rsidP="00FC2B55">
      <w:pPr>
        <w:autoSpaceDE w:val="0"/>
        <w:autoSpaceDN w:val="0"/>
        <w:adjustRightInd w:val="0"/>
        <w:spacing w:after="0" w:line="240" w:lineRule="auto"/>
        <w:rPr>
          <w:rFonts w:ascii="Times New Roman" w:eastAsia="Calibri" w:hAnsi="Times New Roman" w:cs="Times New Roman"/>
          <w:color w:val="000000"/>
          <w:sz w:val="24"/>
          <w:szCs w:val="24"/>
        </w:rPr>
      </w:pPr>
    </w:p>
    <w:p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rsidR="00FC2B55" w:rsidRPr="00FC2B55" w:rsidRDefault="00FC2B55" w:rsidP="00FC2B55">
      <w:pPr>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Informačnou technológiou  je prostriedok alebo postup, ktorý slúži na spracúvanie údajov alebo informácií v elektronickej podobe, najmä informačný systém, infraštruktúra, informačná činnosť a elektronické služby.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Budovanie základných pilierov informatizácie</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
          <w:bCs/>
          <w:color w:val="000000"/>
          <w:sz w:val="24"/>
          <w:szCs w:val="24"/>
          <w:u w:val="single"/>
        </w:rPr>
        <w:t xml:space="preserve">Pilier I.: Biznis vrstva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V rámci tohto piliera sa hodnotí, či predmetný návrh má vplyv na inovácie a zlepšenie existujúcich služieb, t.j.  zmeny koncových služieb, ako aj zavádzanie nových elektronických služieb verejnej správy.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color w:val="000000"/>
          <w:sz w:val="24"/>
          <w:szCs w:val="24"/>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 xml:space="preserve">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Ministerstva investícií regionálneho rozvoja a informatizácie Slovenskej republiky (ďalej len „MIRRI SR“).</w:t>
      </w:r>
      <w:bookmarkStart w:id="1" w:name="_Ref12973993"/>
      <w:r w:rsidRPr="00FC2B55">
        <w:rPr>
          <w:rFonts w:ascii="Times New Roman" w:eastAsia="Calibri" w:hAnsi="Times New Roman" w:cs="Times New Roman"/>
          <w:bCs/>
          <w:sz w:val="20"/>
          <w:szCs w:val="20"/>
          <w:vertAlign w:val="superscript"/>
          <w:lang w:eastAsia="sk-SK"/>
        </w:rPr>
        <w:footnoteReference w:id="1"/>
      </w:r>
      <w:bookmarkEnd w:id="1"/>
      <w:r w:rsidRPr="00FC2B55">
        <w:rPr>
          <w:rFonts w:ascii="Times New Roman" w:eastAsia="Calibri" w:hAnsi="Times New Roman" w:cs="Times New Roman"/>
          <w:bCs/>
          <w:color w:val="000000"/>
          <w:sz w:val="24"/>
          <w:szCs w:val="24"/>
        </w:rPr>
        <w:t xml:space="preserve"> </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Zoznam hlavných kontaktných osôb určených na prístup do MetaIS za jednotlivé inštitúcie  verejnej správy sa nachádza na webovej stránke MIRRI SR.</w:t>
      </w:r>
      <w:r w:rsidRPr="00FC2B55">
        <w:rPr>
          <w:rFonts w:ascii="Times New Roman" w:eastAsia="Calibri" w:hAnsi="Times New Roman" w:cs="Times New Roman"/>
          <w:bCs/>
          <w:sz w:val="20"/>
          <w:szCs w:val="20"/>
          <w:vertAlign w:val="superscript"/>
          <w:lang w:eastAsia="sk-SK"/>
        </w:rPr>
        <w:footnoteReference w:id="2"/>
      </w:r>
      <w:r w:rsidRPr="00FC2B55">
        <w:rPr>
          <w:rFonts w:ascii="Times New Roman" w:eastAsia="Calibri" w:hAnsi="Times New Roman" w:cs="Times New Roman"/>
          <w:bCs/>
          <w:color w:val="000000"/>
          <w:sz w:val="24"/>
          <w:szCs w:val="24"/>
        </w:rPr>
        <w:t xml:space="preserve">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Cs/>
          <w:color w:val="000000"/>
          <w:sz w:val="24"/>
          <w:szCs w:val="24"/>
        </w:rPr>
        <w:t>Úrovne elektronizácie elektronických služieb verejnej správy môžu nadobúdať hodnoty od 0 do 5</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color w:val="000000"/>
          <w:sz w:val="24"/>
          <w:szCs w:val="24"/>
          <w:vertAlign w:val="superscript"/>
        </w:rPr>
        <w:footnoteReference w:id="3"/>
      </w:r>
      <w:r w:rsidRPr="00FC2B55">
        <w:rPr>
          <w:rFonts w:ascii="Times New Roman" w:eastAsia="Calibri" w:hAnsi="Times New Roman" w:cs="Times New Roman"/>
          <w:color w:val="000000"/>
          <w:sz w:val="24"/>
          <w:szCs w:val="24"/>
        </w:rPr>
        <w:t>:</w:t>
      </w:r>
    </w:p>
    <w:p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0, pri ktorej informácia o službe a ani služba nie je on-line elektronicky dostupná,</w:t>
      </w:r>
    </w:p>
    <w:p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rsidR="00FC2B55" w:rsidRPr="00FC2B55" w:rsidRDefault="00FC2B55" w:rsidP="00FC2B55">
      <w:pPr>
        <w:numPr>
          <w:ilvl w:val="0"/>
          <w:numId w:val="1"/>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úroveň 2,  pri  ktorej  je možné stiahnuť príslušný formulár v elektronickej podobe, ale podanie sa nevykonáva elektronickými prostriedkami,</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3,  pri ktorej prebieha vybavovanie služby elektronicky, avšak pri preberaní výsledku služby sa vyžaduje osobný alebo listinný kontakt,</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sz w:val="24"/>
          <w:szCs w:val="24"/>
        </w:rPr>
        <w:t xml:space="preserve">- </w:t>
      </w:r>
      <w:r w:rsidRPr="00FC2B55">
        <w:rPr>
          <w:rFonts w:ascii="Times New Roman" w:eastAsia="Calibri" w:hAnsi="Times New Roman" w:cs="Times New Roman"/>
          <w:sz w:val="24"/>
          <w:szCs w:val="24"/>
        </w:rPr>
        <w:tab/>
        <w:t>úroveň 5, ktorá obsahuje funkčnosť úrovne 3 alebo úrovne 4, a pri ktorej sa naviac využívajú personalizované nastavenia používateľa a možnosť proaktívneho automatizovaného vykonávania častí služby.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bCs/>
          <w:color w:val="000000"/>
          <w:sz w:val="24"/>
          <w:szCs w:val="24"/>
        </w:rPr>
      </w:pPr>
      <w:r w:rsidRPr="00FC2B55">
        <w:rPr>
          <w:rFonts w:ascii="Times New Roman" w:eastAsia="Calibri" w:hAnsi="Times New Roman" w:cs="Times New Roman"/>
          <w:bCs/>
          <w:color w:val="000000"/>
          <w:sz w:val="24"/>
          <w:szCs w:val="24"/>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rsidR="00FC2B55" w:rsidRPr="00FC2B55" w:rsidRDefault="00FC2B55" w:rsidP="00FC2B55">
      <w:pPr>
        <w:autoSpaceDE w:val="0"/>
        <w:autoSpaceDN w:val="0"/>
        <w:adjustRightInd w:val="0"/>
        <w:spacing w:after="0" w:line="240" w:lineRule="auto"/>
        <w:jc w:val="both"/>
        <w:rPr>
          <w:rFonts w:ascii="Times New Roman" w:eastAsia="Times New Roman" w:hAnsi="Times New Roman" w:cs="Times New Roman"/>
          <w:iCs/>
          <w:sz w:val="24"/>
          <w:szCs w:val="24"/>
          <w:lang w:eastAsia="sk-SK"/>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1: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dve </w:t>
      </w:r>
      <w:r w:rsidRPr="00FC2B55">
        <w:rPr>
          <w:rFonts w:ascii="Times New Roman" w:eastAsia="Calibri" w:hAnsi="Times New Roman" w:cs="Times New Roman"/>
          <w:b/>
          <w:color w:val="000000"/>
          <w:sz w:val="24"/>
          <w:szCs w:val="24"/>
        </w:rPr>
        <w:t>nové</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koncové služby</w:t>
      </w:r>
      <w:r w:rsidRPr="00FC2B55">
        <w:rPr>
          <w:rFonts w:ascii="Times New Roman" w:eastAsia="Calibri" w:hAnsi="Times New Roman" w:cs="Times New Roman"/>
          <w:color w:val="000000"/>
          <w:sz w:val="24"/>
          <w:szCs w:val="24"/>
        </w:rPr>
        <w:t>, a to</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„Povoľovanie verejných zbierok“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„Zverejňovanie údajov zapísaných v registri zbierok“.</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Nové koncové služby v zmysle platných predpisov musia byť zaevidované v MetaIS.</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FC2B55" w:rsidRPr="00FC2B55" w:rsidTr="000800FC">
        <w:trPr>
          <w:trHeight w:val="652"/>
        </w:trPr>
        <w:tc>
          <w:tcPr>
            <w:tcW w:w="3342" w:type="dxa"/>
            <w:shd w:val="clear" w:color="auto" w:fill="C0C0C0"/>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701"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777"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483"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rsidTr="000800FC">
        <w:trPr>
          <w:trHeight w:val="552"/>
        </w:trPr>
        <w:tc>
          <w:tcPr>
            <w:tcW w:w="3342" w:type="dxa"/>
            <w:vMerge w:val="restart"/>
          </w:tcPr>
          <w:p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01"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ks_1134</w:t>
            </w:r>
          </w:p>
        </w:tc>
        <w:tc>
          <w:tcPr>
            <w:tcW w:w="1777"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483"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r w:rsidR="00FC2B55" w:rsidRPr="00FC2B55" w:rsidTr="000800FC">
        <w:trPr>
          <w:trHeight w:val="20"/>
        </w:trPr>
        <w:tc>
          <w:tcPr>
            <w:tcW w:w="3342" w:type="dxa"/>
            <w:vMerge/>
          </w:tcPr>
          <w:p w:rsidR="00FC2B55" w:rsidRPr="00FC2B55" w:rsidRDefault="00FC2B55" w:rsidP="00FC2B55">
            <w:pPr>
              <w:spacing w:after="0" w:line="240" w:lineRule="auto"/>
              <w:jc w:val="both"/>
              <w:rPr>
                <w:rFonts w:ascii="Times New Roman" w:eastAsia="Times New Roman" w:hAnsi="Times New Roman" w:cs="Times New Roman"/>
                <w:b/>
                <w:lang w:eastAsia="sk-SK"/>
              </w:rPr>
            </w:pPr>
          </w:p>
        </w:tc>
        <w:tc>
          <w:tcPr>
            <w:tcW w:w="1701"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276"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ks_1135</w:t>
            </w:r>
          </w:p>
        </w:tc>
        <w:tc>
          <w:tcPr>
            <w:tcW w:w="1777"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Zverejňovanie údajov zapísaných v registri zbierok</w:t>
            </w:r>
          </w:p>
        </w:tc>
        <w:tc>
          <w:tcPr>
            <w:tcW w:w="1483"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w:t>
            </w: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4</w:t>
            </w:r>
          </w:p>
        </w:tc>
      </w:tr>
    </w:tbl>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 xml:space="preserve">Príklad č. 2: </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w:t>
      </w:r>
      <w:r w:rsidRPr="00FC2B55">
        <w:rPr>
          <w:rFonts w:ascii="Times New Roman" w:eastAsia="Calibri" w:hAnsi="Times New Roman" w:cs="Times New Roman"/>
          <w:b/>
          <w:color w:val="000000"/>
          <w:sz w:val="24"/>
          <w:szCs w:val="24"/>
        </w:rPr>
        <w:t>zmenu existujúcej koncovej služby</w:t>
      </w:r>
      <w:r w:rsidRPr="00FC2B55">
        <w:rPr>
          <w:rFonts w:ascii="Times New Roman" w:eastAsia="Calibri" w:hAnsi="Times New Roman" w:cs="Times New Roman"/>
          <w:color w:val="000000"/>
          <w:sz w:val="24"/>
          <w:szCs w:val="24"/>
        </w:rPr>
        <w:t xml:space="preserve">   „Povoľovanie verejných zbierok“:</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Pôvodná elektronická služba neumožňovala elektronické vyplnenie a podanie žiadosti, ale iba stiahnutie formuláru  žiadosti a jeho vytlačenie, ktorý sa vypĺňal ručne a posielal poštou, t. j. </w:t>
      </w:r>
      <w:r w:rsidRPr="00FC2B55">
        <w:rPr>
          <w:rFonts w:ascii="Times New Roman" w:eastAsia="Calibri" w:hAnsi="Times New Roman" w:cs="Times New Roman"/>
          <w:sz w:val="24"/>
          <w:szCs w:val="24"/>
        </w:rPr>
        <w:t>úroveň elektronizácie služby 2.</w:t>
      </w:r>
    </w:p>
    <w:p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sz w:val="24"/>
          <w:szCs w:val="24"/>
        </w:rPr>
        <w:t xml:space="preserve">Návrh zákona umožní </w:t>
      </w:r>
      <w:r w:rsidRPr="00FC2B55">
        <w:rPr>
          <w:rFonts w:ascii="Times New Roman" w:eastAsia="Calibri" w:hAnsi="Times New Roman" w:cs="Times New Roman"/>
          <w:color w:val="000000"/>
          <w:sz w:val="24"/>
          <w:szCs w:val="24"/>
        </w:rPr>
        <w:t xml:space="preserve">elektronické podanie žiadosti a elektronické vydanie rozhodnutia o zápise zbierky do registra zbierok, z čoho vyplýva  zmena doterajšej úrovne elektronizácie koncovej služby z úrovne 1 na cieľovú úroveň elektronizácie 4.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takom prípade správca vytvorí novú koncovú službu s novým kódom, s rovnakým názvom, s fázou životného cyklu „plánovaná“. Po nasadení novej koncovej služby do prevádzky bude pôvodná koncová služba zneplatnená.</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6.1. vyplní </w:t>
      </w:r>
      <w:r w:rsidRPr="00FC2B55">
        <w:rPr>
          <w:rFonts w:ascii="Times New Roman" w:eastAsia="Calibri" w:hAnsi="Times New Roman" w:cs="Times New Roman"/>
          <w:color w:val="000000"/>
          <w:sz w:val="24"/>
          <w:szCs w:val="24"/>
        </w:rPr>
        <w:t>nasledovne:</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FC2B55" w:rsidRPr="00FC2B55" w:rsidTr="000800FC">
        <w:trPr>
          <w:trHeight w:val="652"/>
        </w:trPr>
        <w:tc>
          <w:tcPr>
            <w:tcW w:w="3484" w:type="dxa"/>
            <w:shd w:val="clear" w:color="auto" w:fill="C0C0C0"/>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 xml:space="preserve">Biznis vrstva </w:t>
            </w:r>
          </w:p>
        </w:tc>
        <w:tc>
          <w:tcPr>
            <w:tcW w:w="177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služby</w:t>
            </w:r>
          </w:p>
        </w:tc>
        <w:tc>
          <w:tcPr>
            <w:tcW w:w="127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služby z MetaIS</w:t>
            </w:r>
          </w:p>
        </w:tc>
        <w:tc>
          <w:tcPr>
            <w:tcW w:w="1559"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služby  z MetaIS</w:t>
            </w:r>
          </w:p>
        </w:tc>
        <w:tc>
          <w:tcPr>
            <w:tcW w:w="1626"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 z MetaIS</w:t>
            </w:r>
          </w:p>
        </w:tc>
      </w:tr>
      <w:tr w:rsidR="00FC2B55" w:rsidRPr="00FC2B55" w:rsidTr="000800FC">
        <w:trPr>
          <w:trHeight w:val="962"/>
        </w:trPr>
        <w:tc>
          <w:tcPr>
            <w:tcW w:w="3484" w:type="dxa"/>
          </w:tcPr>
          <w:p w:rsidR="00FC2B55" w:rsidRPr="00FC2B55" w:rsidRDefault="00FC2B55" w:rsidP="00FC2B55">
            <w:pPr>
              <w:spacing w:after="0" w:line="240" w:lineRule="auto"/>
              <w:jc w:val="both"/>
              <w:rPr>
                <w:rFonts w:ascii="Times New Roman" w:eastAsia="Times New Roman" w:hAnsi="Times New Roman" w:cs="Times New Roman"/>
                <w:b/>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776" w:type="dxa"/>
          </w:tcPr>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276"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ks_1134 bude nahradená službou </w:t>
            </w:r>
          </w:p>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 ks_337777</w:t>
            </w:r>
          </w:p>
        </w:tc>
        <w:tc>
          <w:tcPr>
            <w:tcW w:w="1559" w:type="dxa"/>
          </w:tcPr>
          <w:p w:rsidR="00FC2B55" w:rsidRPr="00FC2B55" w:rsidRDefault="00FC2B55" w:rsidP="00FC2B55">
            <w:pPr>
              <w:spacing w:after="0" w:line="240" w:lineRule="auto"/>
              <w:jc w:val="both"/>
              <w:rPr>
                <w:rFonts w:ascii="Times New Roman" w:eastAsia="Times New Roman" w:hAnsi="Times New Roman" w:cs="Times New Roman"/>
                <w:sz w:val="20"/>
                <w:szCs w:val="20"/>
                <w:lang w:eastAsia="sk-SK"/>
              </w:rPr>
            </w:pPr>
            <w:r w:rsidRPr="00FC2B55">
              <w:rPr>
                <w:rFonts w:ascii="Times New Roman" w:eastAsia="Calibri" w:hAnsi="Times New Roman" w:cs="Times New Roman"/>
                <w:color w:val="000000"/>
                <w:sz w:val="20"/>
                <w:szCs w:val="20"/>
              </w:rPr>
              <w:t xml:space="preserve">Povoľovanie verejných zbierok </w:t>
            </w:r>
          </w:p>
        </w:tc>
        <w:tc>
          <w:tcPr>
            <w:tcW w:w="1626"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z 1 na  4</w:t>
            </w:r>
          </w:p>
        </w:tc>
      </w:tr>
    </w:tbl>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Pilier II.: Aplikačná a technologická vrstva</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tohto piliera sa hodnotí, či predmetný návrh má vplyv na  rozširovanie, inovácie, vytvorenie a zavádzanie nových informačných systémov verejnej správy.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FC2B55">
        <w:rPr>
          <w:rFonts w:ascii="Times New Roman" w:eastAsia="Calibri" w:hAnsi="Times New Roman" w:cs="Times New Roman"/>
          <w:sz w:val="24"/>
          <w:szCs w:val="24"/>
        </w:rPr>
        <w:t>Informačným systémom verejnej správy je informačný systém v pôsobnosti správcu podporujúci služby verejnej správy, služby vo verejnom záujme alebo verejné služby.</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Podľa </w:t>
      </w:r>
      <w:r w:rsidRPr="00FC2B55">
        <w:rPr>
          <w:rFonts w:ascii="Times New Roman" w:eastAsia="Times New Roman" w:hAnsi="Times New Roman" w:cs="Times New Roman"/>
          <w:sz w:val="24"/>
          <w:szCs w:val="24"/>
          <w:lang w:eastAsia="sk-SK"/>
        </w:rPr>
        <w:t>§ 12 ods. 1 písm. b)</w:t>
      </w:r>
      <w:r w:rsidRPr="00FC2B55">
        <w:rPr>
          <w:rFonts w:ascii="Times New Roman" w:eastAsia="Times New Roman" w:hAnsi="Times New Roman" w:cs="Times New Roman"/>
          <w:sz w:val="20"/>
          <w:szCs w:val="24"/>
          <w:lang w:eastAsia="sk-SK"/>
        </w:rPr>
        <w:t xml:space="preserve"> </w:t>
      </w:r>
      <w:r w:rsidRPr="00FC2B55">
        <w:rPr>
          <w:rFonts w:ascii="Times New Roman" w:eastAsia="Calibri" w:hAnsi="Times New Roman" w:cs="Times New Roman"/>
          <w:color w:val="000000"/>
          <w:sz w:val="24"/>
          <w:szCs w:val="24"/>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FC2B55">
        <w:rPr>
          <w:rFonts w:ascii="Times New Roman" w:eastAsia="Calibri" w:hAnsi="Times New Roman" w:cs="Times New Roman"/>
          <w:color w:val="000000"/>
          <w:sz w:val="24"/>
          <w:szCs w:val="24"/>
          <w:vertAlign w:val="superscript"/>
        </w:rPr>
        <w:fldChar w:fldCharType="begin"/>
      </w:r>
      <w:r w:rsidRPr="00FC2B55">
        <w:rPr>
          <w:rFonts w:ascii="Times New Roman" w:eastAsia="Calibri" w:hAnsi="Times New Roman" w:cs="Times New Roman"/>
          <w:color w:val="000000"/>
          <w:sz w:val="24"/>
          <w:szCs w:val="24"/>
          <w:vertAlign w:val="superscript"/>
        </w:rPr>
        <w:instrText xml:space="preserve"> NOTEREF _Ref12973993 \h  \* MERGEFORMAT </w:instrText>
      </w:r>
      <w:r w:rsidRPr="00FC2B55">
        <w:rPr>
          <w:rFonts w:ascii="Times New Roman" w:eastAsia="Calibri" w:hAnsi="Times New Roman" w:cs="Times New Roman"/>
          <w:color w:val="000000"/>
          <w:sz w:val="24"/>
          <w:szCs w:val="24"/>
          <w:vertAlign w:val="superscript"/>
        </w:rPr>
      </w:r>
      <w:r w:rsidRPr="00FC2B55">
        <w:rPr>
          <w:rFonts w:ascii="Times New Roman" w:eastAsia="Calibri" w:hAnsi="Times New Roman" w:cs="Times New Roman"/>
          <w:color w:val="000000"/>
          <w:sz w:val="24"/>
          <w:szCs w:val="24"/>
          <w:vertAlign w:val="superscript"/>
        </w:rPr>
        <w:fldChar w:fldCharType="separate"/>
      </w:r>
      <w:r w:rsidR="00F422D4">
        <w:rPr>
          <w:rFonts w:ascii="Times New Roman" w:eastAsia="Calibri" w:hAnsi="Times New Roman" w:cs="Times New Roman"/>
          <w:color w:val="000000"/>
          <w:sz w:val="24"/>
          <w:szCs w:val="24"/>
          <w:vertAlign w:val="superscript"/>
        </w:rPr>
        <w:t>1</w:t>
      </w:r>
      <w:r w:rsidRPr="00FC2B55">
        <w:rPr>
          <w:rFonts w:ascii="Times New Roman" w:eastAsia="Calibri" w:hAnsi="Times New Roman" w:cs="Times New Roman"/>
          <w:color w:val="000000"/>
          <w:sz w:val="24"/>
          <w:szCs w:val="24"/>
          <w:vertAlign w:val="superscript"/>
        </w:rPr>
        <w:fldChar w:fldCharType="end"/>
      </w:r>
      <w:r w:rsidRPr="00FC2B55">
        <w:rPr>
          <w:rFonts w:ascii="Times New Roman" w:eastAsia="Calibri" w:hAnsi="Times New Roman" w:cs="Times New Roman"/>
          <w:color w:val="000000"/>
          <w:sz w:val="24"/>
          <w:szCs w:val="24"/>
          <w:vertAlign w:val="superscript"/>
        </w:rPr>
        <w:t xml:space="preserve">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V rámci analýzy vplyvov na informatizáciu nie je potrebné posudzovať rozvoj, ktorého cieľom budú drobné zmeny a modifikácie funkcionalít.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Pre nový informačný systém je charakteristická jeho jedinečnosť, systémovosť, pričom tento je svojou podstatou unikátnym a jedinečným súborom</w:t>
      </w:r>
      <w:r w:rsidRPr="00FC2B55">
        <w:rPr>
          <w:rFonts w:ascii="Times New Roman" w:eastAsia="Calibri" w:hAnsi="Times New Roman" w:cs="Times New Roman"/>
          <w:i/>
          <w:color w:val="000000"/>
          <w:sz w:val="24"/>
          <w:szCs w:val="24"/>
        </w:rPr>
        <w:t xml:space="preserve"> </w:t>
      </w:r>
      <w:r w:rsidRPr="00FC2B55">
        <w:rPr>
          <w:rFonts w:ascii="Times New Roman" w:eastAsia="Calibri" w:hAnsi="Times New Roman" w:cs="Times New Roman"/>
          <w:color w:val="000000"/>
          <w:sz w:val="24"/>
          <w:szCs w:val="24"/>
        </w:rPr>
        <w:t xml:space="preserve">svojich činností, ktoré sa odlišujú od činností rutinných nielen svojím obsahom, ale aj cieľovým zameraním. </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prípade, ak návrh materiálu obsahuje zmenu existujúceho alebo vytvorenie nového informačného systému verejnej správy, predkladateľ uvedie v analýze použitím písmen „A“ alebo „B“ vrátane kódu a názvu systému podľa MetaIS.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rsidR="00FC2B55" w:rsidRPr="00FC2B55" w:rsidRDefault="00FC2B55" w:rsidP="00FC2B55">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rámci analýzy vplyvov na informatizáciu sa preto hodnotí, či </w:t>
      </w:r>
    </w:p>
    <w:p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budovaný informačný systém verejnej správy bude vyvíjaný a prevádzkovaný vo vládnom cloude alebo </w:t>
      </w:r>
    </w:p>
    <w:p w:rsidR="00FC2B55" w:rsidRPr="00FC2B55" w:rsidRDefault="00FC2B55" w:rsidP="00FC2B55">
      <w:pPr>
        <w:numPr>
          <w:ilvl w:val="0"/>
          <w:numId w:val="3"/>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inovovaný informačný systém je prevádzkovaný vo vládnom cloude, a ak nie, či bude migrovaný do vládneho cloudu.</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1:</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predpokladá zavedenie </w:t>
      </w:r>
      <w:r w:rsidRPr="00FC2B55">
        <w:rPr>
          <w:rFonts w:ascii="Times New Roman" w:eastAsia="Calibri" w:hAnsi="Times New Roman" w:cs="Times New Roman"/>
          <w:b/>
          <w:color w:val="000000"/>
          <w:sz w:val="24"/>
          <w:szCs w:val="24"/>
        </w:rPr>
        <w:t>nového</w:t>
      </w:r>
      <w:r w:rsidRPr="00FC2B55">
        <w:rPr>
          <w:rFonts w:ascii="Times New Roman" w:eastAsia="Calibri" w:hAnsi="Times New Roman" w:cs="Times New Roman"/>
          <w:color w:val="000000"/>
          <w:sz w:val="24"/>
          <w:szCs w:val="24"/>
        </w:rPr>
        <w:t xml:space="preserve"> </w:t>
      </w:r>
      <w:r w:rsidRPr="00FC2B55">
        <w:rPr>
          <w:rFonts w:ascii="Times New Roman" w:eastAsia="Calibri" w:hAnsi="Times New Roman" w:cs="Times New Roman"/>
          <w:b/>
          <w:color w:val="000000"/>
          <w:sz w:val="24"/>
          <w:szCs w:val="24"/>
        </w:rPr>
        <w:t>informačného systému</w:t>
      </w:r>
      <w:r w:rsidRPr="00FC2B55">
        <w:rPr>
          <w:rFonts w:ascii="Times New Roman" w:eastAsia="Calibri" w:hAnsi="Times New Roman" w:cs="Times New Roman"/>
          <w:color w:val="000000"/>
          <w:sz w:val="24"/>
          <w:szCs w:val="24"/>
        </w:rPr>
        <w:t xml:space="preserve"> verejnej správy, ktorým je „Register zbierok“. Nový informačný systém bude vyvíjaný a prevádzkovaný vo vládnom cloude. Nový informačný systém musí byť zaevidovaný v MetaIS.</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FC2B55" w:rsidRPr="00FC2B55" w:rsidTr="000800FC">
        <w:trPr>
          <w:trHeight w:val="20"/>
        </w:trPr>
        <w:tc>
          <w:tcPr>
            <w:tcW w:w="5245"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rsidTr="000800FC">
        <w:trPr>
          <w:trHeight w:val="20"/>
        </w:trPr>
        <w:tc>
          <w:tcPr>
            <w:tcW w:w="5245"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A</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1559"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áno</w:t>
            </w:r>
          </w:p>
        </w:tc>
      </w:tr>
    </w:tbl>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FC2B55">
        <w:rPr>
          <w:rFonts w:ascii="Times New Roman" w:eastAsia="Calibri" w:hAnsi="Times New Roman" w:cs="Times New Roman"/>
          <w:bCs/>
          <w:i/>
          <w:color w:val="000000"/>
          <w:sz w:val="24"/>
          <w:szCs w:val="24"/>
        </w:rPr>
        <w:t>Príklad č. 2:</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mení informačný systém verejnej správy, ktorým je „Register zbierok“. </w:t>
      </w: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Alt. 1: Existujúci informačný systém bude migrovaný a následne prevádzkovaný vo vládnom cloude. </w:t>
      </w:r>
    </w:p>
    <w:p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Alt. 2: Existujúci informačný systém je od roku 2017 prevádzkovaný vo vládnom cloude.</w:t>
      </w:r>
    </w:p>
    <w:p w:rsidR="00FC2B55" w:rsidRPr="00FC2B55" w:rsidRDefault="00FC2B55" w:rsidP="00FC2B55">
      <w:pPr>
        <w:spacing w:after="0" w:line="240" w:lineRule="auto"/>
        <w:ind w:firstLine="708"/>
        <w:jc w:val="both"/>
        <w:rPr>
          <w:rFonts w:ascii="Times New Roman" w:eastAsia="Calibri" w:hAnsi="Times New Roman" w:cs="Times New Roman"/>
          <w:color w:val="000000"/>
          <w:sz w:val="24"/>
          <w:szCs w:val="24"/>
        </w:rPr>
      </w:pPr>
    </w:p>
    <w:p w:rsidR="00FC2B55" w:rsidRPr="00FC2B55" w:rsidRDefault="00FC2B55" w:rsidP="00FC2B55">
      <w:pPr>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 xml:space="preserve">bode 6.2. vyplní </w:t>
      </w:r>
      <w:r w:rsidRPr="00FC2B55">
        <w:rPr>
          <w:rFonts w:ascii="Times New Roman" w:eastAsia="Calibri" w:hAnsi="Times New Roman" w:cs="Times New Roman"/>
          <w:color w:val="000000"/>
          <w:sz w:val="24"/>
          <w:szCs w:val="24"/>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FC2B55" w:rsidRPr="00FC2B55" w:rsidTr="000800FC">
        <w:trPr>
          <w:trHeight w:val="20"/>
        </w:trPr>
        <w:tc>
          <w:tcPr>
            <w:tcW w:w="4536" w:type="dxa"/>
            <w:shd w:val="clear" w:color="auto" w:fill="C0C0C0"/>
            <w:vAlign w:val="center"/>
          </w:tcPr>
          <w:p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851" w:type="dxa"/>
            <w:shd w:val="clear" w:color="auto" w:fill="C0C0C0"/>
            <w:vAlign w:val="center"/>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2268" w:type="dxa"/>
            <w:shd w:val="clear" w:color="auto" w:fill="C0C0C0"/>
          </w:tcPr>
          <w:p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rsidTr="000800FC">
        <w:trPr>
          <w:trHeight w:val="445"/>
        </w:trPr>
        <w:tc>
          <w:tcPr>
            <w:tcW w:w="453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B</w:t>
            </w:r>
          </w:p>
        </w:tc>
        <w:tc>
          <w:tcPr>
            <w:tcW w:w="1134"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isvs_5836</w:t>
            </w:r>
          </w:p>
        </w:tc>
        <w:tc>
          <w:tcPr>
            <w:tcW w:w="851"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Register zbierok   </w:t>
            </w:r>
          </w:p>
        </w:tc>
        <w:tc>
          <w:tcPr>
            <w:tcW w:w="2268" w:type="dxa"/>
          </w:tcPr>
          <w:p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sz w:val="20"/>
                <w:szCs w:val="20"/>
                <w:lang w:eastAsia="sk-SK"/>
              </w:rPr>
              <w:t xml:space="preserve">Alt. 1: Áno v roku 2019                Alt. 2: Áno od roku 2017                </w:t>
            </w:r>
          </w:p>
        </w:tc>
      </w:tr>
    </w:tbl>
    <w:p w:rsidR="00FC2B55" w:rsidRPr="00FC2B55" w:rsidRDefault="00FC2B55" w:rsidP="00FC2B55">
      <w:pPr>
        <w:spacing w:after="0" w:line="240" w:lineRule="auto"/>
        <w:jc w:val="both"/>
        <w:rPr>
          <w:rFonts w:ascii="Times New Roman" w:eastAsia="Calibri" w:hAnsi="Times New Roman" w:cs="Times New Roman"/>
          <w:color w:val="000000"/>
          <w:sz w:val="24"/>
          <w:szCs w:val="24"/>
        </w:rPr>
      </w:pP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r w:rsidRPr="00FC2B55">
        <w:rPr>
          <w:rFonts w:ascii="Times New Roman" w:eastAsia="Calibri" w:hAnsi="Times New Roman" w:cs="Times New Roman"/>
          <w:b/>
          <w:bCs/>
          <w:color w:val="000000"/>
          <w:sz w:val="24"/>
          <w:szCs w:val="24"/>
          <w:u w:val="single"/>
        </w:rPr>
        <w:t>Financovanie informatizácie spolo</w:t>
      </w:r>
      <w:r w:rsidRPr="00FC2B55">
        <w:rPr>
          <w:rFonts w:ascii="Times New Roman" w:eastAsia="Calibri" w:hAnsi="Times New Roman" w:cs="Times New Roman"/>
          <w:color w:val="000000"/>
          <w:sz w:val="24"/>
          <w:szCs w:val="24"/>
          <w:u w:val="single"/>
        </w:rPr>
        <w:t>č</w:t>
      </w:r>
      <w:r w:rsidRPr="00FC2B55">
        <w:rPr>
          <w:rFonts w:ascii="Times New Roman" w:eastAsia="Calibri" w:hAnsi="Times New Roman" w:cs="Times New Roman"/>
          <w:b/>
          <w:bCs/>
          <w:color w:val="000000"/>
          <w:sz w:val="24"/>
          <w:szCs w:val="24"/>
          <w:u w:val="single"/>
        </w:rPr>
        <w:t>nosti</w:t>
      </w:r>
    </w:p>
    <w:p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Financovanie procesu informatizácie v súčasnosti prebieha na nasledovných úrovniach:</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rezortná úroveň</w:t>
      </w:r>
      <w:r w:rsidRPr="00FC2B55">
        <w:rPr>
          <w:rFonts w:ascii="Times New Roman" w:eastAsia="Calibri" w:hAnsi="Times New Roman" w:cs="Times New Roman"/>
          <w:color w:val="000000"/>
          <w:sz w:val="24"/>
          <w:szCs w:val="24"/>
        </w:rPr>
        <w:t xml:space="preserve"> – financovanie projektov realizovaných v rámci jednotlivých rezortov a v rámci jednotlivých rozpočtových kapitol,</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nadrezortná úroveň</w:t>
      </w:r>
      <w:r w:rsidRPr="00FC2B55">
        <w:rPr>
          <w:rFonts w:ascii="Times New Roman" w:eastAsia="Calibri" w:hAnsi="Times New Roman" w:cs="Times New Roman"/>
          <w:color w:val="000000"/>
          <w:sz w:val="24"/>
          <w:szCs w:val="24"/>
        </w:rPr>
        <w:t xml:space="preserve"> – financovanie projektov s nadrezortnou pôsobnosťou. Finančné prostriedky budú rozpočtované v rámci kapitoly ministerstva financií. </w:t>
      </w:r>
    </w:p>
    <w:p w:rsidR="00FC2B55" w:rsidRPr="00FC2B55" w:rsidRDefault="00FC2B55" w:rsidP="00FC2B55">
      <w:pPr>
        <w:autoSpaceDE w:val="0"/>
        <w:autoSpaceDN w:val="0"/>
        <w:adjustRightInd w:val="0"/>
        <w:spacing w:before="240"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rámci rezortnej a nadrezortnej úrovne je možné financovanie:</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prostriedkov Európskej únie</w:t>
      </w:r>
      <w:r w:rsidRPr="00FC2B55">
        <w:rPr>
          <w:rFonts w:ascii="Times New Roman" w:eastAsia="Calibri" w:hAnsi="Times New Roman" w:cs="Times New Roman"/>
          <w:color w:val="000000"/>
          <w:sz w:val="24"/>
          <w:szCs w:val="24"/>
        </w:rPr>
        <w:t xml:space="preserve"> – prostredníctvom čerpania štrukturálnych fondov Európskej únie, ako aj prostredníctvom komunitárnych programov (v oblasti vedy a výskumu napr. 7. rámcový program a komunitárne programy v oblasti vzdelávania).</w:t>
      </w:r>
    </w:p>
    <w:p w:rsidR="00FC2B55" w:rsidRPr="00FC2B55" w:rsidRDefault="00FC2B55" w:rsidP="00FC2B55">
      <w:pPr>
        <w:numPr>
          <w:ilvl w:val="0"/>
          <w:numId w:val="2"/>
        </w:numPr>
        <w:autoSpaceDE w:val="0"/>
        <w:autoSpaceDN w:val="0"/>
        <w:adjustRightInd w:val="0"/>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b/>
          <w:color w:val="000000"/>
          <w:sz w:val="24"/>
          <w:szCs w:val="24"/>
        </w:rPr>
        <w:t>z ďalších zdrojov financovania</w:t>
      </w:r>
      <w:r w:rsidRPr="00FC2B55">
        <w:rPr>
          <w:rFonts w:ascii="Times New Roman" w:eastAsia="Calibri" w:hAnsi="Times New Roman" w:cs="Times New Roman"/>
          <w:color w:val="000000"/>
          <w:sz w:val="24"/>
          <w:szCs w:val="24"/>
        </w:rPr>
        <w:t xml:space="preserve"> – z prostriedkov Európskej investičnej banky, Svetovej banky a pod..</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č.1:</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zo štátneho rozpočtu.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sa v </w:t>
      </w:r>
      <w:r w:rsidRPr="00FC2B55">
        <w:rPr>
          <w:rFonts w:ascii="Times New Roman" w:eastAsia="Calibri" w:hAnsi="Times New Roman" w:cs="Times New Roman"/>
          <w:sz w:val="24"/>
          <w:szCs w:val="24"/>
        </w:rPr>
        <w:t>bode 6.3. vyplní nasledovne</w:t>
      </w:r>
      <w:r w:rsidRPr="00FC2B55">
        <w:rPr>
          <w:rFonts w:ascii="Times New Roman" w:eastAsia="Calibri" w:hAnsi="Times New Roman" w:cs="Times New Roman"/>
          <w:color w:val="000000"/>
          <w:sz w:val="24"/>
          <w:szCs w:val="24"/>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rsidTr="000800FC">
        <w:trPr>
          <w:trHeight w:val="20"/>
        </w:trPr>
        <w:tc>
          <w:tcPr>
            <w:tcW w:w="9087" w:type="dxa"/>
            <w:gridSpan w:val="4"/>
            <w:tcBorders>
              <w:bottom w:val="single" w:sz="4" w:space="0" w:color="auto"/>
            </w:tcBorders>
            <w:shd w:val="clear" w:color="auto" w:fill="BFBFBF"/>
          </w:tcPr>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rsidTr="000800FC">
        <w:trPr>
          <w:trHeight w:val="20"/>
        </w:trPr>
        <w:tc>
          <w:tcPr>
            <w:tcW w:w="3956" w:type="dxa"/>
            <w:shd w:val="clear" w:color="auto" w:fill="BFBFBF"/>
          </w:tcPr>
          <w:p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p>
        </w:tc>
      </w:tr>
    </w:tbl>
    <w:p w:rsidR="00FC2B55" w:rsidRPr="00FC2B55" w:rsidRDefault="00FC2B55" w:rsidP="00FC2B55">
      <w:pPr>
        <w:autoSpaceDE w:val="0"/>
        <w:autoSpaceDN w:val="0"/>
        <w:adjustRightInd w:val="0"/>
        <w:spacing w:before="240" w:after="200" w:line="240" w:lineRule="auto"/>
        <w:jc w:val="both"/>
        <w:rPr>
          <w:rFonts w:ascii="Times New Roman" w:eastAsia="Calibri" w:hAnsi="Times New Roman" w:cs="Times New Roman"/>
          <w:i/>
          <w:color w:val="000000"/>
          <w:sz w:val="24"/>
          <w:szCs w:val="24"/>
        </w:rPr>
      </w:pPr>
      <w:r w:rsidRPr="00FC2B55">
        <w:rPr>
          <w:rFonts w:ascii="Times New Roman" w:eastAsia="Calibri" w:hAnsi="Times New Roman" w:cs="Times New Roman"/>
          <w:i/>
          <w:color w:val="000000"/>
          <w:sz w:val="24"/>
          <w:szCs w:val="24"/>
        </w:rPr>
        <w:t>Príklad č.2:</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FC2B55" w:rsidRPr="00FC2B55" w:rsidRDefault="00FC2B55" w:rsidP="00FC2B55">
      <w:pPr>
        <w:spacing w:after="200" w:line="276" w:lineRule="auto"/>
        <w:jc w:val="both"/>
        <w:rPr>
          <w:rFonts w:ascii="Times New Roman" w:eastAsia="Calibri" w:hAnsi="Times New Roman" w:cs="Times New Roman"/>
          <w:sz w:val="24"/>
          <w:szCs w:val="24"/>
        </w:rPr>
      </w:pPr>
      <w:r w:rsidRPr="00FC2B55">
        <w:rPr>
          <w:rFonts w:ascii="Times New Roman" w:eastAsia="Calibri" w:hAnsi="Times New Roman" w:cs="Times New Roman"/>
          <w:color w:val="000000"/>
          <w:sz w:val="24"/>
          <w:szCs w:val="24"/>
        </w:rPr>
        <w:t xml:space="preserve">Analýza vplyvov sa </w:t>
      </w:r>
      <w:r w:rsidRPr="00FC2B55">
        <w:rPr>
          <w:rFonts w:ascii="Times New Roman" w:eastAsia="Calibri" w:hAnsi="Times New Roman" w:cs="Times New Roman"/>
          <w:sz w:val="24"/>
          <w:szCs w:val="24"/>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FC2B55" w:rsidRPr="00FC2B55" w:rsidTr="000800FC">
        <w:trPr>
          <w:trHeight w:val="20"/>
        </w:trPr>
        <w:tc>
          <w:tcPr>
            <w:tcW w:w="9087" w:type="dxa"/>
            <w:gridSpan w:val="4"/>
            <w:tcBorders>
              <w:bottom w:val="single" w:sz="4" w:space="0" w:color="auto"/>
            </w:tcBorders>
            <w:shd w:val="clear" w:color="auto" w:fill="BFBFBF"/>
          </w:tcPr>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Financovanie procesu informatizácie</w:t>
            </w:r>
          </w:p>
        </w:tc>
      </w:tr>
      <w:tr w:rsidR="00FC2B55" w:rsidRPr="00FC2B55" w:rsidTr="000800FC">
        <w:trPr>
          <w:trHeight w:val="20"/>
        </w:trPr>
        <w:tc>
          <w:tcPr>
            <w:tcW w:w="3956" w:type="dxa"/>
            <w:shd w:val="clear" w:color="auto" w:fill="BFBFBF"/>
          </w:tcPr>
          <w:p w:rsidR="00FC2B55" w:rsidRPr="00FC2B55" w:rsidRDefault="00FC2B55" w:rsidP="00FC2B55">
            <w:pPr>
              <w:spacing w:after="0" w:line="20" w:lineRule="atLeast"/>
              <w:rPr>
                <w:rFonts w:ascii="Times New Roman" w:eastAsia="Times New Roman" w:hAnsi="Times New Roman" w:cs="Times New Roman"/>
                <w:b/>
                <w:sz w:val="24"/>
                <w:szCs w:val="24"/>
                <w:lang w:eastAsia="sk-SK"/>
              </w:rPr>
            </w:pPr>
          </w:p>
        </w:tc>
        <w:tc>
          <w:tcPr>
            <w:tcW w:w="1162"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Rezortná úroveň</w:t>
            </w:r>
          </w:p>
        </w:tc>
        <w:tc>
          <w:tcPr>
            <w:tcW w:w="1560" w:type="dxa"/>
            <w:shd w:val="clear" w:color="auto" w:fill="BFBFBF"/>
          </w:tcPr>
          <w:p w:rsidR="00FC2B55" w:rsidRPr="00FC2B55" w:rsidRDefault="00FC2B55" w:rsidP="00FC2B55">
            <w:pPr>
              <w:spacing w:after="0" w:line="240" w:lineRule="auto"/>
              <w:jc w:val="center"/>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Nadrezortná úroveň</w:t>
            </w:r>
          </w:p>
        </w:tc>
        <w:tc>
          <w:tcPr>
            <w:tcW w:w="2409" w:type="dxa"/>
            <w:shd w:val="clear" w:color="auto" w:fill="BFBFBF"/>
          </w:tcPr>
          <w:p w:rsidR="00FC2B55" w:rsidRPr="00FC2B55" w:rsidRDefault="00FC2B55" w:rsidP="00FC2B55">
            <w:pPr>
              <w:spacing w:after="0" w:line="240" w:lineRule="auto"/>
              <w:rPr>
                <w:rFonts w:ascii="Times New Roman" w:eastAsia="Times New Roman" w:hAnsi="Times New Roman" w:cs="Times New Roman"/>
                <w:b/>
                <w:sz w:val="24"/>
                <w:szCs w:val="24"/>
                <w:lang w:eastAsia="sk-SK"/>
              </w:rPr>
            </w:pPr>
            <w:r w:rsidRPr="00FC2B55">
              <w:rPr>
                <w:rFonts w:ascii="Times New Roman" w:eastAsia="Times New Roman" w:hAnsi="Times New Roman" w:cs="Times New Roman"/>
                <w:b/>
                <w:sz w:val="24"/>
                <w:szCs w:val="24"/>
                <w:lang w:eastAsia="sk-SK"/>
              </w:rPr>
              <w:t>A - z prostriedkov EÚ</w:t>
            </w:r>
          </w:p>
          <w:p w:rsidR="00FC2B55" w:rsidRPr="00FC2B55" w:rsidRDefault="00FC2B55" w:rsidP="00FC2B55">
            <w:pPr>
              <w:spacing w:after="0" w:line="240" w:lineRule="auto"/>
              <w:rPr>
                <w:rFonts w:ascii="Times New Roman" w:eastAsia="Times New Roman" w:hAnsi="Times New Roman" w:cs="Times New Roman"/>
                <w:b/>
                <w:i/>
                <w:iCs/>
                <w:sz w:val="24"/>
                <w:szCs w:val="24"/>
                <w:lang w:eastAsia="sk-SK"/>
              </w:rPr>
            </w:pPr>
            <w:r w:rsidRPr="00FC2B55">
              <w:rPr>
                <w:rFonts w:ascii="Times New Roman" w:eastAsia="Times New Roman" w:hAnsi="Times New Roman" w:cs="Times New Roman"/>
                <w:b/>
                <w:sz w:val="24"/>
                <w:szCs w:val="24"/>
                <w:lang w:eastAsia="sk-SK"/>
              </w:rPr>
              <w:t>B - z ďalších zdrojov financovania</w:t>
            </w:r>
          </w:p>
        </w:tc>
      </w:tr>
      <w:tr w:rsidR="00FC2B55" w:rsidRPr="00FC2B55" w:rsidTr="000800FC">
        <w:trPr>
          <w:trHeight w:val="20"/>
        </w:trPr>
        <w:tc>
          <w:tcPr>
            <w:tcW w:w="3956"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4"/>
                <w:szCs w:val="24"/>
                <w:lang w:eastAsia="sk-SK"/>
              </w:rPr>
              <w:t>6.3.</w:t>
            </w:r>
            <w:r w:rsidRPr="00FC2B55">
              <w:rPr>
                <w:rFonts w:ascii="Times New Roman" w:eastAsia="Times New Roman" w:hAnsi="Times New Roman" w:cs="Times New Roman"/>
                <w:sz w:val="24"/>
                <w:szCs w:val="24"/>
                <w:lang w:eastAsia="sk-SK"/>
              </w:rPr>
              <w:t xml:space="preserve"> Vyžaduje si proces informatizácie  finančné investície?</w:t>
            </w:r>
          </w:p>
          <w:p w:rsidR="00FC2B55" w:rsidRPr="00FC2B55" w:rsidRDefault="00FC2B55" w:rsidP="00FC2B55">
            <w:pPr>
              <w:spacing w:after="0" w:line="20" w:lineRule="atLeast"/>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4"/>
                <w:szCs w:val="24"/>
                <w:lang w:eastAsia="sk-SK"/>
              </w:rPr>
              <w:t>(Uveďte príslušnú úroveň financovania a kvantifikáciu finančných výdavkov uveďte  v analýze vplyvov na rozpočet verejnej správy.)</w:t>
            </w:r>
          </w:p>
        </w:tc>
        <w:tc>
          <w:tcPr>
            <w:tcW w:w="1162"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X</w:t>
            </w:r>
          </w:p>
        </w:tc>
        <w:tc>
          <w:tcPr>
            <w:tcW w:w="1560"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240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p w:rsidR="00FC2B55" w:rsidRPr="00FC2B55" w:rsidRDefault="00FC2B55" w:rsidP="00FC2B55">
            <w:pPr>
              <w:spacing w:after="0" w:line="240" w:lineRule="auto"/>
              <w:jc w:val="center"/>
              <w:rPr>
                <w:rFonts w:ascii="Times New Roman" w:eastAsia="Times New Roman" w:hAnsi="Times New Roman" w:cs="Times New Roman"/>
                <w:b/>
                <w:iCs/>
                <w:sz w:val="24"/>
                <w:szCs w:val="24"/>
                <w:lang w:eastAsia="sk-SK"/>
              </w:rPr>
            </w:pPr>
            <w:r w:rsidRPr="00FC2B55">
              <w:rPr>
                <w:rFonts w:ascii="Times New Roman" w:eastAsia="Times New Roman" w:hAnsi="Times New Roman" w:cs="Times New Roman"/>
                <w:b/>
                <w:iCs/>
                <w:sz w:val="24"/>
                <w:szCs w:val="24"/>
                <w:lang w:eastAsia="sk-SK"/>
              </w:rPr>
              <w:t>A</w:t>
            </w:r>
          </w:p>
        </w:tc>
      </w:tr>
    </w:tbl>
    <w:p w:rsidR="00FC2B55" w:rsidRPr="00FC2B55" w:rsidRDefault="00FC2B55" w:rsidP="00FC2B55">
      <w:pPr>
        <w:spacing w:after="0" w:line="240" w:lineRule="auto"/>
        <w:rPr>
          <w:rFonts w:ascii="Times New Roman" w:eastAsia="Times New Roman" w:hAnsi="Times New Roman" w:cs="Times New Roman"/>
          <w:b/>
          <w:bCs/>
          <w:sz w:val="24"/>
          <w:szCs w:val="24"/>
          <w:lang w:eastAsia="sk-SK"/>
        </w:rPr>
      </w:pP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    </w:t>
      </w:r>
    </w:p>
    <w:p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FC2B55">
        <w:rPr>
          <w:rFonts w:ascii="Times New Roman" w:eastAsia="Calibri" w:hAnsi="Times New Roman" w:cs="Times New Roman"/>
          <w:b/>
          <w:color w:val="000000"/>
          <w:sz w:val="26"/>
          <w:szCs w:val="26"/>
        </w:rPr>
        <w:t>Zjednodušenie prístupu ku konaniu a odstraňovanie byrokracie</w:t>
      </w:r>
    </w:p>
    <w:p w:rsidR="00FC2B55" w:rsidRPr="00FC2B55" w:rsidRDefault="00FC2B55" w:rsidP="00FC2B55">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Elektronické konanie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Povinnosť vykonávať verejnú moc elektronicky vo všeobecnosti platí od 1. novembra 2013, resp. po uplynutí prechodného obdobia od 1. novembra 2016, s výnimkami podľa § 17 ods. 1 písm. a) až c) zákona o e-Governmente.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či rozhodnutie o stavebnej uzávere, tu ide o také konanie, ktorého výsledkom je individuálny právny akt, ktorý priamo zakladá práva, či ukladá povinnosti konkrétnej osobe.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pohľadu podporovania informatizácie je dôležité, aby najmä v prípadoch, kedy štát koná a ukladá občanom a podnikateľom povinnosti, resp. občania a podnikatelia si uplatňujú svoje práva, bolo občanom a podnikateľom umožnené začať a dokončiť celé konanie elektronicky, prostredníctvom elektronického podania, elektronickej komunikácie a prijatím elektronického rozhodnutia vo veci samej.</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pct25" w:color="auto" w:fill="auto"/>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50587391"/>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1162207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Kódexový procesný predpis, upravujúci pravidlá pre konanie, v ktorom v oblasti verejnej správy správne orgány rozhodujú o právach, právom chránených záujmoch alebo povinnostiach fyzických osôb a právnických osôb.</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152794370"/>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95220237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80773441"/>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987507970"/>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8" w:anchor="paragraf-33.odsek-2" w:tooltip="Odkaz na predpis alebo ustanovenie" w:history="1">
        <w:r w:rsidRPr="00FC2B55">
          <w:rPr>
            <w:rFonts w:ascii="Times New Roman" w:eastAsia="Calibri" w:hAnsi="Times New Roman" w:cs="Times New Roman"/>
            <w:color w:val="000000"/>
            <w:sz w:val="24"/>
            <w:szCs w:val="24"/>
          </w:rPr>
          <w:t>§ 33 ods. 2</w:t>
        </w:r>
      </w:hyperlink>
      <w:r w:rsidRPr="00FC2B55">
        <w:rPr>
          <w:rFonts w:ascii="Times New Roman" w:eastAsia="Calibri" w:hAnsi="Times New Roman" w:cs="Times New Roman"/>
          <w:color w:val="000000"/>
          <w:sz w:val="24"/>
          <w:szCs w:val="24"/>
        </w:rPr>
        <w:t> Daňového poriadku cez určené dátové rozhranie a v súlade s podmienkami  a podrobnosťami o elektronickej komunikácii zverejnenými na webovom sídle finančného riaditeľstva – teda nie aj cez ústredný portál verejnej správy.</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pct25" w:color="auto" w:fill="auto"/>
          </w:tcPr>
          <w:p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228608138"/>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13452314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sz w:val="20"/>
                <w:szCs w:val="20"/>
              </w:rPr>
            </w:pPr>
            <w:r w:rsidRPr="00FC2B55">
              <w:rPr>
                <w:rFonts w:ascii="Times New Roman" w:eastAsia="Times New Roman" w:hAnsi="Times New Roman" w:cs="Times New Roman"/>
                <w:sz w:val="20"/>
                <w:lang w:eastAsia="sk-SK"/>
              </w:rPr>
              <w:t>Procesný predpis, upravujúci pravidlá pre konanie v oblasti správy daní.</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730189445"/>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200840120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044723407"/>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7805005"/>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shd w:val="clear" w:color="auto" w:fill="auto"/>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Štruktúrované podania podľa § 13 ods. 5 je možné podať len prostredníctvom prístupového miesta prevádzkovaného finančným riaditeľstvom z dôvodu ...</w:t>
            </w: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Zásada „jedenkrát a dosť“</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Pod pojmom „údaje“ sa myslia v najvšeobecnejšom vyjadrení všetky dokumenty, informácie, preukazovanie skutočností a iné veci, ktoré sa v konaní predkladajú alebo preukazujú orgánu verejnej moci a na základe ktorých sa rozhoduje.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Žiaducim stavom je, aby v prípade zavádzania nových konaní bol tento princíp v plnej miere rešpektovaný a nové konania s ním už počítali ako s bežnou praxou – teda aby občania a podnikatelia neboli povinní predkladať orgánu údaje, ktorými štát disponuje. V prípade existujúcich konaní je žiaducim stavom, aby bol tento princíp zavedený v čo najkratšom možnom čase.</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1</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clear" w:color="auto" w:fill="BFBFBF"/>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45465158"/>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7799779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Konanie o registrácii vo fakturačnom systéme podľa § 6 zákona.</w:t>
            </w:r>
          </w:p>
          <w:p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Získavajú sa údaje v rozsahu identifikačných údajov registrovanej osoby, konkrétne .... a údaje o osobách oprávnených konať v jej mene v rozsahu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67203900"/>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47638628"/>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Z.z. v znení neskorších predpisov.</w:t>
            </w:r>
          </w:p>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Zoznam hospodárskych subjektov podľa zákona č. 343/2015 Z.z. v znení neskorších predpisov.</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98890797"/>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0572752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bude podľa § 6 ods. 3 získavať MF SR priamo z vyššie uvedených evidencií a podľa § 6 ods. 10 ich správcovia evidencií budú povinní poskytovať MF SR spôsobom podľa § 17 ods. 6 zákona o e-Governmente.</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626382874"/>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306867552"/>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budú získavané z úradnej moci od začiatku aplikácie daného ustanovenia o registračnom konaní.</w:t>
            </w: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 č. 2</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clear" w:color="auto" w:fill="BFBFBF"/>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81670661"/>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8206875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Predkladanie materiálov na bezpečnostnú previerku podľa § 16 ods. 1. </w:t>
            </w:r>
          </w:p>
          <w:p w:rsidR="00FC2B55" w:rsidRPr="00FC2B55" w:rsidRDefault="00FC2B55" w:rsidP="00FC2B55">
            <w:pPr>
              <w:spacing w:after="0" w:line="20" w:lineRule="atLeast"/>
              <w:jc w:val="both"/>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Predkladajú sa osobný dotazník a bezpečnostný dotazník.</w:t>
            </w:r>
          </w:p>
          <w:p w:rsidR="00FC2B55" w:rsidRPr="00FC2B55" w:rsidRDefault="00FC2B55" w:rsidP="00FC2B55">
            <w:pPr>
              <w:spacing w:after="0" w:line="20" w:lineRule="atLeast"/>
              <w:jc w:val="both"/>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Osobný dotazník obsahuje údaje podľa prílohy č. 2 zákona a bezpečnostný dotazník podľa prílohy č. 3 zákona.</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861387007"/>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89889882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Register fyzických osôb podľa zákona č. 253/1998 Z. z. v znení neskorších predpisov. </w:t>
            </w:r>
          </w:p>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právnických osôb, podnikateľov a orgánov verejnej moci podľa zákona č. 272/2015 Z. z. v znení neskorších predpisov.</w:t>
            </w:r>
          </w:p>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Register trestov podľa zákona č. 330/2007 Z. z. v znení neskorších predpisov.</w:t>
            </w:r>
          </w:p>
          <w:p w:rsidR="00FC2B55" w:rsidRPr="00FC2B55" w:rsidRDefault="00FC2B55" w:rsidP="00FC2B55">
            <w:pPr>
              <w:spacing w:after="0" w:line="240" w:lineRule="auto"/>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Evidencie orgánov finančnej správy podľa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78284518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782682442"/>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r w:rsidR="00FC2B55" w:rsidRPr="00FC2B55" w:rsidTr="000800FC">
        <w:trPr>
          <w:trHeight w:val="20"/>
        </w:trPr>
        <w:tc>
          <w:tcPr>
            <w:tcW w:w="3956" w:type="dxa"/>
            <w:tcBorders>
              <w:bottom w:val="single" w:sz="4" w:space="0" w:color="auto"/>
            </w:tcBorders>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513603272"/>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323591493"/>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Borders>
              <w:bottom w:val="single" w:sz="4" w:space="0" w:color="auto"/>
            </w:tcBorders>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r w:rsidRPr="00FC2B55">
              <w:rPr>
                <w:rFonts w:ascii="Times New Roman" w:eastAsia="Times New Roman" w:hAnsi="Times New Roman" w:cs="Times New Roman"/>
                <w:sz w:val="20"/>
                <w:lang w:eastAsia="sk-SK"/>
              </w:rPr>
              <w:t>Údaje musí predkladať žiadateľ z dôvodu nevyhnutnosti posudzovať bezpečnostnú spoľahlivosť podľa § 14 ods. 1 zákona.</w:t>
            </w: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Výmena údajov medzi orgánmi verejnej moci</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Vyššie uvedené rešpektuje aj výnimky, ktoré môžu byť odôvodnené povahou údajov a systémov, z ktorých sa poskytujú, najmä ak ide o údaje, ktoré sú utajovanou skutočnosťou. Inými slovami, obmedzenie vyššie uvedeného žiadaného stavu je prípustné vtedy, ak je to nevyhnutné na naplnenie účelu ochrany konkrétneho záujmu a zároveň je to obmedzenie len v nevyhnutnej miere.</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shd w:val="pct25" w:color="auto" w:fill="auto"/>
          </w:tcPr>
          <w:p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274075212"/>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72653221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Register právnických osôb, podnikateľov a orgánov verejnej moci.</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328901085"/>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327431139"/>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1329482266"/>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638693753"/>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sz w:val="20"/>
                <w:lang w:eastAsia="sk-SK"/>
              </w:rPr>
              <w:t>Poskytovanie je zabezpečené elektronicky a automatizovaným spôsobom.</w:t>
            </w:r>
            <w:r w:rsidRPr="00FC2B55">
              <w:rPr>
                <w:rFonts w:ascii="Times New Roman" w:eastAsia="Times New Roman" w:hAnsi="Times New Roman" w:cs="Times New Roman"/>
                <w:sz w:val="20"/>
                <w:szCs w:val="20"/>
                <w:lang w:eastAsia="sk-SK"/>
              </w:rPr>
              <w:t xml:space="preserve">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491101638"/>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1620379221"/>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r>
    </w:tbl>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spacing w:after="200" w:line="240"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b/>
          <w:bCs/>
          <w:color w:val="000000"/>
          <w:sz w:val="24"/>
          <w:szCs w:val="24"/>
        </w:rPr>
        <w:t>Referenčné údaje</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Cieľom zavedenia referenčných registrov je umožniť zdieľanie a využívanie údajov medzi informačnými systémami orgánov verejnej moci a ich poskytovanie pre výkon verejnej moci elektronicky.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údajov, ktoré vychádza z povinnosti referencovať (preberať údaj z referenčného registra) a nezapisovať ho do svojej evidencie. </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V tejto časti sa hodnotí pripravenosť na vyhlásenie údajov za referenčné a výber údajov, ktoré sú vo vzťahu k danej evidencii referenčné.</w:t>
      </w:r>
    </w:p>
    <w:p w:rsidR="00FC2B55" w:rsidRPr="00FC2B55" w:rsidRDefault="00FC2B55" w:rsidP="00FC2B55">
      <w:pPr>
        <w:spacing w:after="200" w:line="240"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i/>
          <w:iCs/>
          <w:color w:val="000000"/>
          <w:sz w:val="24"/>
          <w:szCs w:val="24"/>
        </w:rPr>
        <w:t>Príklad</w:t>
      </w:r>
      <w:r w:rsidRPr="00FC2B55">
        <w:rPr>
          <w:rFonts w:ascii="Times New Roman" w:eastAsia="Calibri" w:hAnsi="Times New Roman" w:cs="Times New Roman"/>
          <w:color w:val="000000"/>
          <w:sz w:val="24"/>
          <w:szCs w:val="24"/>
        </w:rPr>
        <w:t>:</w:t>
      </w:r>
    </w:p>
    <w:p w:rsidR="00FC2B55" w:rsidRPr="00FC2B55" w:rsidRDefault="00FC2B55" w:rsidP="00FC2B55">
      <w:pPr>
        <w:spacing w:after="200" w:line="276" w:lineRule="auto"/>
        <w:jc w:val="both"/>
        <w:rPr>
          <w:rFonts w:ascii="Times New Roman" w:eastAsia="Calibri" w:hAnsi="Times New Roman" w:cs="Times New Roman"/>
          <w:color w:val="000000"/>
          <w:sz w:val="24"/>
          <w:szCs w:val="24"/>
        </w:rPr>
      </w:pPr>
      <w:r w:rsidRPr="00FC2B55">
        <w:rPr>
          <w:rFonts w:ascii="Times New Roman" w:eastAsia="Calibri" w:hAnsi="Times New Roman" w:cs="Times New Roman"/>
          <w:color w:val="000000"/>
          <w:sz w:val="24"/>
          <w:szCs w:val="24"/>
        </w:rPr>
        <w:t xml:space="preserve">Zákon č. 272/2015 Z.z. bol už v čase jeho prípravy a prijímania vnímaný ako právny základ pre register, ktorý sa stane zdrojom referenčných údajov o subjektoch v ňom zapísaných. </w:t>
      </w: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r w:rsidRPr="00FC2B55">
        <w:rPr>
          <w:rFonts w:ascii="Times New Roman" w:eastAsia="Calibri" w:hAnsi="Times New Roman" w:cs="Times New Roman"/>
          <w:color w:val="000000"/>
          <w:sz w:val="24"/>
          <w:szCs w:val="24"/>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FC2B55" w:rsidRPr="00FC2B55" w:rsidTr="000800FC">
        <w:trPr>
          <w:trHeight w:val="20"/>
        </w:trPr>
        <w:tc>
          <w:tcPr>
            <w:tcW w:w="9371" w:type="dxa"/>
            <w:gridSpan w:val="3"/>
          </w:tcPr>
          <w:p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sdt>
                <w:sdtPr>
                  <w:rPr>
                    <w:rFonts w:ascii="Times New Roman" w:eastAsia="Times New Roman" w:hAnsi="Times New Roman" w:cs="Times New Roman"/>
                    <w:sz w:val="20"/>
                    <w:szCs w:val="20"/>
                    <w:lang w:eastAsia="sk-SK"/>
                  </w:rPr>
                  <w:id w:val="361403900"/>
                  <w14:checkbox>
                    <w14:checked w14:val="1"/>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rsidTr="000800FC">
              <w:sdt>
                <w:sdtPr>
                  <w:rPr>
                    <w:rFonts w:ascii="Times New Roman" w:eastAsia="Times New Roman" w:hAnsi="Times New Roman" w:cs="Times New Roman"/>
                    <w:sz w:val="20"/>
                    <w:szCs w:val="20"/>
                    <w:lang w:eastAsia="sk-SK"/>
                  </w:rPr>
                  <w:id w:val="997697445"/>
                  <w14:checkbox>
                    <w14:checked w14:val="0"/>
                    <w14:checkedState w14:val="2612" w14:font="MS Gothic"/>
                    <w14:uncheckedState w14:val="2610" w14:font="MS Gothic"/>
                  </w14:checkbox>
                </w:sdtPr>
                <w:sdtEndPr/>
                <w:sdtContent>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Zriaďuje sa nový register. Register právnických osôb, podnikateľov a orgánov verejnej moci.</w:t>
            </w:r>
          </w:p>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 xml:space="preserve">Referenčnými údajmi budú údaje o </w:t>
            </w:r>
          </w:p>
          <w:p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právnickej osobe v rozsahu ...</w:t>
            </w:r>
          </w:p>
          <w:p w:rsidR="00FC2B55" w:rsidRPr="00FC2B55" w:rsidRDefault="00FC2B55" w:rsidP="00FC2B55">
            <w:pPr>
              <w:numPr>
                <w:ilvl w:val="0"/>
                <w:numId w:val="3"/>
              </w:numPr>
              <w:spacing w:after="0" w:line="240" w:lineRule="auto"/>
              <w:contextualSpacing/>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fyzickej osobe podnikateľovi v rozsahu ...</w:t>
            </w:r>
          </w:p>
          <w:p w:rsidR="00FC2B55" w:rsidRPr="00FC2B55" w:rsidRDefault="00FC2B55" w:rsidP="00FC2B55">
            <w:pPr>
              <w:numPr>
                <w:ilvl w:val="0"/>
                <w:numId w:val="3"/>
              </w:numPr>
              <w:spacing w:after="0" w:line="240" w:lineRule="auto"/>
              <w:contextualSpacing/>
              <w:rPr>
                <w:rFonts w:ascii="Times New Roman" w:eastAsia="Times New Roman" w:hAnsi="Times New Roman" w:cs="Times New Roman"/>
                <w:i/>
                <w:iCs/>
                <w:sz w:val="20"/>
                <w:lang w:eastAsia="sk-SK"/>
              </w:rPr>
            </w:pPr>
            <w:r w:rsidRPr="00FC2B55">
              <w:rPr>
                <w:rFonts w:ascii="Times New Roman" w:eastAsia="Times New Roman" w:hAnsi="Times New Roman" w:cs="Times New Roman"/>
                <w:sz w:val="20"/>
                <w:lang w:eastAsia="sk-SK"/>
              </w:rPr>
              <w:t>orgáne verejnej moci v rozsahu ...</w:t>
            </w:r>
          </w:p>
        </w:tc>
      </w:tr>
      <w:tr w:rsidR="00FC2B55" w:rsidRPr="00FC2B55" w:rsidTr="000800FC">
        <w:trPr>
          <w:trHeight w:val="20"/>
        </w:trPr>
        <w:tc>
          <w:tcPr>
            <w:tcW w:w="3956" w:type="dxa"/>
          </w:tcPr>
          <w:p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rsidTr="000800FC">
              <w:tc>
                <w:tcPr>
                  <w:tcW w:w="436" w:type="dxa"/>
                </w:tcPr>
                <w:p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rsidR="00FC2B55" w:rsidRPr="00FC2B55" w:rsidRDefault="00FC2B55" w:rsidP="00FC2B55">
                  <w:pPr>
                    <w:rPr>
                      <w:rFonts w:ascii="Times New Roman" w:eastAsia="Times New Roman" w:hAnsi="Times New Roman" w:cs="Times New Roman"/>
                      <w:b/>
                      <w:sz w:val="20"/>
                      <w:szCs w:val="20"/>
                      <w:lang w:eastAsia="sk-SK"/>
                    </w:rPr>
                  </w:pPr>
                </w:p>
              </w:tc>
            </w:tr>
          </w:tbl>
          <w:p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tcPr>
          <w:p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sz w:val="20"/>
                <w:lang w:eastAsia="sk-SK"/>
              </w:rPr>
              <w:t>V priebehu roka 2016.</w:t>
            </w:r>
          </w:p>
        </w:tc>
      </w:tr>
    </w:tbl>
    <w:p w:rsidR="00FC2B55" w:rsidRPr="00FC2B55" w:rsidRDefault="00FC2B55" w:rsidP="00FC2B55">
      <w:pPr>
        <w:spacing w:after="0" w:line="240" w:lineRule="auto"/>
        <w:jc w:val="both"/>
        <w:rPr>
          <w:rFonts w:ascii="Times New Roman" w:eastAsia="Times New Roman" w:hAnsi="Times New Roman" w:cs="Times New Roman"/>
          <w:b/>
          <w:bCs/>
          <w:i/>
          <w:sz w:val="24"/>
          <w:szCs w:val="24"/>
          <w:highlight w:val="yellow"/>
          <w:lang w:eastAsia="sk-SK"/>
        </w:rPr>
      </w:pPr>
    </w:p>
    <w:p w:rsidR="00FC2B55" w:rsidRPr="00FC2B55" w:rsidRDefault="00FC2B55" w:rsidP="00FC2B55">
      <w:pPr>
        <w:spacing w:after="200" w:line="276" w:lineRule="auto"/>
        <w:jc w:val="both"/>
        <w:rPr>
          <w:rFonts w:ascii="Times New Roman" w:eastAsia="Calibri" w:hAnsi="Times New Roman" w:cs="Times New Roman"/>
          <w:b/>
          <w:bCs/>
          <w:color w:val="000000"/>
          <w:sz w:val="24"/>
          <w:szCs w:val="24"/>
        </w:rPr>
      </w:pPr>
    </w:p>
    <w:p w:rsidR="00FC2B55" w:rsidRPr="00FC2B55" w:rsidRDefault="00FC2B55" w:rsidP="00FC2B55">
      <w:pPr>
        <w:autoSpaceDE w:val="0"/>
        <w:autoSpaceDN w:val="0"/>
        <w:spacing w:after="240" w:line="240" w:lineRule="auto"/>
        <w:ind w:firstLine="708"/>
        <w:jc w:val="both"/>
        <w:rPr>
          <w:rFonts w:ascii="Times New Roman" w:eastAsia="Times New Roman" w:hAnsi="Times New Roman" w:cs="Times New Roman"/>
          <w:sz w:val="24"/>
          <w:szCs w:val="24"/>
          <w:lang w:eastAsia="sk-SK"/>
        </w:rPr>
      </w:pPr>
    </w:p>
    <w:p w:rsidR="00274130" w:rsidRDefault="00F06266"/>
    <w:sectPr w:rsidR="002741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18" w:rsidRDefault="00AC6818" w:rsidP="00FC2B55">
      <w:pPr>
        <w:spacing w:after="0" w:line="240" w:lineRule="auto"/>
      </w:pPr>
      <w:r>
        <w:separator/>
      </w:r>
    </w:p>
  </w:endnote>
  <w:endnote w:type="continuationSeparator" w:id="0">
    <w:p w:rsidR="00AC6818" w:rsidRDefault="00AC6818"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668"/>
      <w:docPartObj>
        <w:docPartGallery w:val="Page Numbers (Bottom of Page)"/>
        <w:docPartUnique/>
      </w:docPartObj>
    </w:sdtPr>
    <w:sdtEndPr/>
    <w:sdtContent>
      <w:p w:rsidR="00FC2B55" w:rsidRDefault="00FC2B55"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F06266">
          <w:rPr>
            <w:rFonts w:ascii="Times New Roman" w:hAnsi="Times New Roman" w:cs="Times New Roman"/>
            <w:noProof/>
            <w:sz w:val="24"/>
            <w:szCs w:val="24"/>
          </w:rPr>
          <w:t>1</w:t>
        </w:r>
        <w:r w:rsidRPr="00CF1A40">
          <w:rPr>
            <w:rFonts w:ascii="Times New Roman" w:hAnsi="Times New Roman" w:cs="Times New Roman"/>
            <w:sz w:val="24"/>
            <w:szCs w:val="24"/>
          </w:rPr>
          <w:fldChar w:fldCharType="end"/>
        </w:r>
      </w:p>
    </w:sdtContent>
  </w:sdt>
  <w:p w:rsidR="00FC2B55" w:rsidRPr="00FF7125" w:rsidRDefault="00FC2B55" w:rsidP="00FC2B55">
    <w:pPr>
      <w:pStyle w:val="Pta"/>
      <w:rPr>
        <w:sz w:val="24"/>
        <w:szCs w:val="24"/>
      </w:rPr>
    </w:pPr>
  </w:p>
  <w:p w:rsidR="00FC2B55" w:rsidRPr="00FC2B55" w:rsidRDefault="00FC2B55" w:rsidP="00FC2B5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18" w:rsidRDefault="00AC6818" w:rsidP="00FC2B55">
      <w:pPr>
        <w:spacing w:after="0" w:line="240" w:lineRule="auto"/>
      </w:pPr>
      <w:r>
        <w:separator/>
      </w:r>
    </w:p>
  </w:footnote>
  <w:footnote w:type="continuationSeparator" w:id="0">
    <w:p w:rsidR="00AC6818" w:rsidRDefault="00AC6818" w:rsidP="00FC2B55">
      <w:pPr>
        <w:spacing w:after="0" w:line="240" w:lineRule="auto"/>
      </w:pPr>
      <w:r>
        <w:continuationSeparator/>
      </w:r>
    </w:p>
  </w:footnote>
  <w:footnote w:id="1">
    <w:p w:rsidR="00FC2B55" w:rsidRPr="000D5A39" w:rsidRDefault="00FC2B55"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rsidR="00FC2B55" w:rsidRPr="000D5A39" w:rsidRDefault="00FC2B55" w:rsidP="00FC2B55">
      <w:pPr>
        <w:pStyle w:val="Textpoznmkypodiarou"/>
        <w:jc w:val="both"/>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rsidR="00FC2B55" w:rsidRPr="000D5A39" w:rsidRDefault="00FC2B55" w:rsidP="00FC2B55">
      <w:pPr>
        <w:pStyle w:val="Textpoznmkypodiarou"/>
        <w:rPr>
          <w:rFonts w:ascii="Times New Roman" w:hAnsi="Times New Roman"/>
        </w:rPr>
      </w:pPr>
      <w:r w:rsidRPr="000D5A39">
        <w:rPr>
          <w:rStyle w:val="Odkaznapoznmkupodiarou"/>
          <w:rFonts w:ascii="Times New Roman" w:hAnsi="Times New Roman"/>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55" w:rsidRPr="006045CB" w:rsidRDefault="00FC2B55" w:rsidP="00FC2B55">
    <w:pPr>
      <w:pStyle w:val="Hlavika"/>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sidR="004A2F4C">
      <w:rPr>
        <w:rFonts w:ascii="Times New Roman" w:hAnsi="Times New Roman" w:cs="Times New Roman"/>
        <w:sz w:val="24"/>
        <w:szCs w:val="24"/>
      </w:rPr>
      <w:t>6</w:t>
    </w:r>
  </w:p>
  <w:p w:rsidR="00FC2B55" w:rsidRDefault="00FC2B5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757A2"/>
    <w:rsid w:val="001012F3"/>
    <w:rsid w:val="004A2F4C"/>
    <w:rsid w:val="00540118"/>
    <w:rsid w:val="00702F97"/>
    <w:rsid w:val="0080106A"/>
    <w:rsid w:val="008801B5"/>
    <w:rsid w:val="008C32BA"/>
    <w:rsid w:val="00947AF0"/>
    <w:rsid w:val="009E09F7"/>
    <w:rsid w:val="00AC6818"/>
    <w:rsid w:val="00F06266"/>
    <w:rsid w:val="00F422D4"/>
    <w:rsid w:val="00FC2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02F2D-8E20-4FB8-A9EB-68343C2B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202001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6"/>
    <f:field ref="objsubject" par="" edit="true" text=""/>
    <f:field ref="objcreatedby" par="" text="Drieniková, Kristína"/>
    <f:field ref="objcreatedat" par="" text="3.11.2020 15:32:18"/>
    <f:field ref="objchangedby" par="" text="Matúšek, Miloš, JUDr."/>
    <f:field ref="objmodifiedat" par="" text="4.11.2020 13:20:1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6077</Words>
  <Characters>34641</Characters>
  <Application>Microsoft Office Word</Application>
  <DocSecurity>4</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Pavlikova Katarina</cp:lastModifiedBy>
  <cp:revision>2</cp:revision>
  <cp:lastPrinted>2021-01-04T10:53:00Z</cp:lastPrinted>
  <dcterms:created xsi:type="dcterms:W3CDTF">2021-06-01T09:16:00Z</dcterms:created>
  <dcterms:modified xsi:type="dcterms:W3CDTF">2021-06-01T09:16:00Z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COO.2145.1000.3.4079704</vt:lpwstr>
  </property>
  <property fmtid="{D5CDD505-2E9C-101B-9397-08002B2CF9AE}" pid="152" name="FSC#FSCFOLIO@1.1001:docpropproject">
    <vt:lpwstr/>
  </property>
</Properties>
</file>