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DD769" w14:textId="77777777" w:rsidR="00072784" w:rsidRDefault="00243E5E">
      <w:pPr>
        <w:pStyle w:val="NoteHead"/>
      </w:pPr>
      <w:r>
        <w:t>EU pre-assessment fiche for IPCEI candidate</w:t>
      </w:r>
      <w:r>
        <w:br/>
      </w:r>
      <w:r>
        <w:br/>
        <w:t>IPCEI on Innovative Nuclear Technologies – Uranium Processing and associated fuel Services, Waste management &amp; Decommissioning (NE-UPSWD)</w:t>
      </w:r>
    </w:p>
    <w:p w14:paraId="76EDD76A" w14:textId="77777777" w:rsidR="00072784" w:rsidRDefault="00243E5E">
      <w:pPr>
        <w:pStyle w:val="Standard"/>
      </w:pPr>
      <w:r>
        <w:rPr>
          <w:i/>
          <w:iCs/>
        </w:rPr>
        <w:t>The objective of this fiche is to provide a preliminary assessment of whether an industrial policy initiative in a given area (be it a specific technology, value chain or sector) would be a suitable candidate for an IPCEI.</w:t>
      </w:r>
    </w:p>
    <w:p w14:paraId="76EDD76B" w14:textId="77777777" w:rsidR="00072784" w:rsidRDefault="00243E5E">
      <w:pPr>
        <w:pStyle w:val="Standard"/>
      </w:pPr>
      <w:r>
        <w:rPr>
          <w:i/>
          <w:iCs/>
        </w:rPr>
        <w:t xml:space="preserve">The questions aim at ensuring that an industrial strategy initiative by Member States in a given area is warranted, aligns with EU objectives and would meet the eligibility criteria set out in the </w:t>
      </w:r>
      <w:hyperlink r:id="rId11" w:history="1">
        <w:r>
          <w:rPr>
            <w:rStyle w:val="InternetLink"/>
            <w:i/>
            <w:iCs/>
          </w:rPr>
          <w:t>IPCEI Communication</w:t>
        </w:r>
      </w:hyperlink>
      <w:r>
        <w:rPr>
          <w:i/>
          <w:iCs/>
        </w:rPr>
        <w:t>.</w:t>
      </w:r>
    </w:p>
    <w:p w14:paraId="76EDD76C" w14:textId="77777777" w:rsidR="00072784" w:rsidRDefault="00243E5E">
      <w:pPr>
        <w:pStyle w:val="Standard"/>
      </w:pPr>
      <w:r>
        <w:rPr>
          <w:i/>
          <w:iCs/>
        </w:rPr>
        <w:t xml:space="preserve">The objective of the fiche is not to come up with a final decision as to whether launching an IPCEI in a given area, but to assess if it would be necessary to conduct more analytical work to design a potential IPCEI.  </w:t>
      </w:r>
    </w:p>
    <w:p w14:paraId="76EDD76D" w14:textId="77777777" w:rsidR="00072784" w:rsidRDefault="00243E5E">
      <w:pPr>
        <w:suppressAutoHyphens w:val="0"/>
        <w:autoSpaceDN/>
        <w:spacing w:after="240"/>
        <w:textAlignment w:val="auto"/>
        <w:rPr>
          <w:b/>
          <w:bCs/>
        </w:rPr>
      </w:pPr>
      <w:r>
        <w:rPr>
          <w:b/>
          <w:bCs/>
        </w:rPr>
        <w:t>General scope of the IPCEI on Innovative nuclear technologies</w:t>
      </w:r>
    </w:p>
    <w:p w14:paraId="76EDD76E" w14:textId="77777777" w:rsidR="00072784" w:rsidRDefault="00243E5E">
      <w:pPr>
        <w:pBdr>
          <w:top w:val="single" w:sz="4" w:space="1" w:color="auto"/>
          <w:left w:val="single" w:sz="4" w:space="4" w:color="auto"/>
          <w:bottom w:val="single" w:sz="4" w:space="1" w:color="auto"/>
          <w:right w:val="single" w:sz="4" w:space="4" w:color="auto"/>
        </w:pBdr>
        <w:jc w:val="both"/>
        <w:rPr>
          <w:b/>
          <w:bCs/>
        </w:rPr>
      </w:pPr>
      <w:r>
        <w:rPr>
          <w:b/>
          <w:bCs/>
        </w:rPr>
        <w:t xml:space="preserve">The proposed IPCEI on innovative nuclear technologies would aim at enabling Member States to invest into innovative nuclear technologies, such as SMRs/AMRs, fusion technologies, radioisotopes production, along with their enabling activities. These technologies have the potential to address two key societal challenges, namely (i) climate neutrality, (ii) strategic autonomy and security of supply and (iii) a better health. </w:t>
      </w:r>
    </w:p>
    <w:p w14:paraId="76EDD76F" w14:textId="77777777" w:rsidR="00072784" w:rsidRDefault="00072784">
      <w:pPr>
        <w:pBdr>
          <w:top w:val="single" w:sz="4" w:space="1" w:color="auto"/>
          <w:left w:val="single" w:sz="4" w:space="4" w:color="auto"/>
          <w:bottom w:val="single" w:sz="4" w:space="1" w:color="auto"/>
          <w:right w:val="single" w:sz="4" w:space="4" w:color="auto"/>
        </w:pBdr>
        <w:jc w:val="both"/>
        <w:rPr>
          <w:b/>
          <w:bCs/>
        </w:rPr>
      </w:pPr>
    </w:p>
    <w:p w14:paraId="76EDD770" w14:textId="77777777" w:rsidR="00072784" w:rsidRDefault="00243E5E">
      <w:pPr>
        <w:pBdr>
          <w:top w:val="single" w:sz="4" w:space="1" w:color="auto"/>
          <w:left w:val="single" w:sz="4" w:space="4" w:color="auto"/>
          <w:bottom w:val="single" w:sz="4" w:space="1" w:color="auto"/>
          <w:right w:val="single" w:sz="4" w:space="4" w:color="auto"/>
        </w:pBdr>
        <w:jc w:val="both"/>
        <w:rPr>
          <w:b/>
          <w:bCs/>
        </w:rPr>
      </w:pPr>
      <w:r>
        <w:rPr>
          <w:b/>
          <w:bCs/>
        </w:rPr>
        <w:t>For fission technologies, key activities include SMRs/AMRs but also enabling activities such as innovative fuels, uranium processing, waste management and decommissioning, and supply chain development. Regarding nuclear fusion, the focus extends to enabling technologies such as tritium breeding, high-temperature superconductivity, and advancement in both magnetic and alternative concept as inertial fusion reactor technologies. The non-energy applications activities focus on production of medical radioisotop</w:t>
      </w:r>
      <w:r>
        <w:rPr>
          <w:b/>
          <w:bCs/>
        </w:rPr>
        <w:t>es aiming for sustainable supply chain in Europe.</w:t>
      </w:r>
    </w:p>
    <w:p w14:paraId="76EDD771" w14:textId="77777777" w:rsidR="00072784" w:rsidRDefault="00072784">
      <w:pPr>
        <w:pBdr>
          <w:top w:val="single" w:sz="4" w:space="1" w:color="auto"/>
          <w:left w:val="single" w:sz="4" w:space="4" w:color="auto"/>
          <w:bottom w:val="single" w:sz="4" w:space="1" w:color="auto"/>
          <w:right w:val="single" w:sz="4" w:space="4" w:color="auto"/>
        </w:pBdr>
        <w:jc w:val="both"/>
        <w:rPr>
          <w:b/>
          <w:bCs/>
        </w:rPr>
      </w:pPr>
    </w:p>
    <w:p w14:paraId="76EDD772" w14:textId="77777777" w:rsidR="00072784" w:rsidRDefault="00243E5E">
      <w:pPr>
        <w:pBdr>
          <w:top w:val="single" w:sz="4" w:space="1" w:color="auto"/>
          <w:left w:val="single" w:sz="4" w:space="4" w:color="auto"/>
          <w:bottom w:val="single" w:sz="4" w:space="1" w:color="auto"/>
          <w:right w:val="single" w:sz="4" w:space="4" w:color="auto"/>
        </w:pBdr>
        <w:jc w:val="both"/>
        <w:rPr>
          <w:b/>
          <w:bCs/>
        </w:rPr>
      </w:pPr>
      <w:r>
        <w:rPr>
          <w:b/>
          <w:bCs/>
        </w:rPr>
        <w:t>Based on the feedback received from Member States in the pre-assessment phase, and the definition of the notion of infrastructure shared by DG COMP, the proposed IPCEI on Nuclear technologies would mainly cover R&amp;D&amp;I and FID</w:t>
      </w:r>
      <w:r>
        <w:rPr>
          <w:rStyle w:val="Odkaznapoznmkupodiarou"/>
          <w:b/>
          <w:bCs/>
        </w:rPr>
        <w:footnoteReference w:id="2"/>
      </w:r>
      <w:r>
        <w:rPr>
          <w:b/>
          <w:bCs/>
        </w:rPr>
        <w:t xml:space="preserve"> projects in line with point 22 to 24 of the IPCEI Communication, and </w:t>
      </w:r>
      <w:r>
        <w:rPr>
          <w:b/>
          <w:bCs/>
          <w:lang w:val="en-US"/>
        </w:rPr>
        <w:t>would address these main societal challenges</w:t>
      </w:r>
      <w:r>
        <w:rPr>
          <w:b/>
          <w:bCs/>
        </w:rPr>
        <w:t>.</w:t>
      </w:r>
    </w:p>
    <w:p w14:paraId="76EDD773" w14:textId="77777777" w:rsidR="00072784" w:rsidRDefault="00072784">
      <w:pPr>
        <w:pBdr>
          <w:top w:val="single" w:sz="4" w:space="1" w:color="auto"/>
          <w:left w:val="single" w:sz="4" w:space="4" w:color="auto"/>
          <w:bottom w:val="single" w:sz="4" w:space="1" w:color="auto"/>
          <w:right w:val="single" w:sz="4" w:space="4" w:color="auto"/>
        </w:pBdr>
        <w:jc w:val="both"/>
        <w:rPr>
          <w:b/>
          <w:bCs/>
        </w:rPr>
      </w:pPr>
    </w:p>
    <w:p w14:paraId="76EDD774" w14:textId="77777777" w:rsidR="00072784" w:rsidRDefault="00243E5E">
      <w:pPr>
        <w:pBdr>
          <w:top w:val="single" w:sz="4" w:space="1" w:color="auto"/>
          <w:left w:val="single" w:sz="4" w:space="4" w:color="auto"/>
          <w:bottom w:val="single" w:sz="4" w:space="1" w:color="auto"/>
          <w:right w:val="single" w:sz="4" w:space="4" w:color="auto"/>
        </w:pBdr>
        <w:jc w:val="both"/>
        <w:rPr>
          <w:b/>
          <w:bCs/>
        </w:rPr>
      </w:pPr>
      <w:r>
        <w:rPr>
          <w:b/>
          <w:bCs/>
        </w:rPr>
        <w:t xml:space="preserve">Areas covered by the proposed IPCEI would include SMRs in the short-term, AMRs and nuclear fusion technologies in the medium to long-term. They would also include projects related to the fuel cycle, supply chains, and to the production of radioisotopes for medical purposes as a vital side-benefit of nuclear technologies. </w:t>
      </w:r>
    </w:p>
    <w:p w14:paraId="76EDD775" w14:textId="77777777" w:rsidR="00072784" w:rsidRDefault="00072784">
      <w:pPr>
        <w:pBdr>
          <w:top w:val="single" w:sz="4" w:space="1" w:color="auto"/>
          <w:left w:val="single" w:sz="4" w:space="4" w:color="auto"/>
          <w:bottom w:val="single" w:sz="4" w:space="1" w:color="auto"/>
          <w:right w:val="single" w:sz="4" w:space="4" w:color="auto"/>
        </w:pBdr>
        <w:jc w:val="both"/>
        <w:rPr>
          <w:b/>
          <w:bCs/>
        </w:rPr>
      </w:pPr>
    </w:p>
    <w:p w14:paraId="76EDD776" w14:textId="77777777" w:rsidR="00072784" w:rsidRDefault="00243E5E">
      <w:pPr>
        <w:pBdr>
          <w:top w:val="single" w:sz="4" w:space="1" w:color="auto"/>
          <w:left w:val="single" w:sz="4" w:space="4" w:color="auto"/>
          <w:bottom w:val="single" w:sz="4" w:space="1" w:color="auto"/>
          <w:right w:val="single" w:sz="4" w:space="4" w:color="auto"/>
        </w:pBdr>
        <w:jc w:val="both"/>
        <w:rPr>
          <w:b/>
          <w:bCs/>
        </w:rPr>
      </w:pPr>
      <w:r>
        <w:rPr>
          <w:b/>
          <w:bCs/>
        </w:rPr>
        <w:t>The identified work fields include at this stage (i</w:t>
      </w:r>
      <w:r>
        <w:rPr>
          <w:b/>
          <w:bCs/>
        </w:rPr>
        <w:t>) Innovative nuclear power generation (SMR/AMR) and enabling activities, (ii) Uranium Processing and associated fuel Services, Waste management &amp; Decommissioning, (iii) Supply chain development, transformation and modernisation of industrial sites, (iv) Nuclear Fusion technologies, and (v) Production of radioisotopes for medical applications. Further work in the design phase will be needed to demonstrate the combination of both field-specific issues and possible intertwined technical challenges linked to th</w:t>
      </w:r>
      <w:r>
        <w:rPr>
          <w:b/>
          <w:bCs/>
        </w:rPr>
        <w:t xml:space="preserve">e use of nuclear technologies. </w:t>
      </w:r>
    </w:p>
    <w:p w14:paraId="76EDD777" w14:textId="77777777" w:rsidR="00072784" w:rsidRDefault="00072784">
      <w:pPr>
        <w:pBdr>
          <w:top w:val="single" w:sz="4" w:space="1" w:color="auto"/>
          <w:left w:val="single" w:sz="4" w:space="4" w:color="auto"/>
          <w:bottom w:val="single" w:sz="4" w:space="1" w:color="auto"/>
          <w:right w:val="single" w:sz="4" w:space="4" w:color="auto"/>
        </w:pBdr>
        <w:jc w:val="both"/>
        <w:rPr>
          <w:b/>
          <w:bCs/>
        </w:rPr>
      </w:pPr>
    </w:p>
    <w:p w14:paraId="76EDD778" w14:textId="77777777" w:rsidR="00072784" w:rsidRDefault="00243E5E">
      <w:pPr>
        <w:pBdr>
          <w:top w:val="single" w:sz="4" w:space="1" w:color="auto"/>
          <w:left w:val="single" w:sz="4" w:space="4" w:color="auto"/>
          <w:bottom w:val="single" w:sz="4" w:space="1" w:color="auto"/>
          <w:right w:val="single" w:sz="4" w:space="4" w:color="auto"/>
        </w:pBdr>
        <w:jc w:val="both"/>
        <w:rPr>
          <w:b/>
          <w:bCs/>
        </w:rPr>
      </w:pPr>
      <w:r>
        <w:rPr>
          <w:b/>
          <w:bCs/>
        </w:rPr>
        <w:t>As such, such an IPCEI would help in catalysing public and private investments into nuclear innovation and in enhancing the EU's nuclear ecosystem integration.</w:t>
      </w:r>
    </w:p>
    <w:p w14:paraId="76EDD779" w14:textId="77777777" w:rsidR="00072784" w:rsidRDefault="00072784">
      <w:pPr>
        <w:pStyle w:val="Standard"/>
      </w:pPr>
    </w:p>
    <w:tbl>
      <w:tblPr>
        <w:tblW w:w="8614" w:type="dxa"/>
        <w:tblInd w:w="7" w:type="dxa"/>
        <w:tblLayout w:type="fixed"/>
        <w:tblCellMar>
          <w:left w:w="10" w:type="dxa"/>
          <w:right w:w="10" w:type="dxa"/>
        </w:tblCellMar>
        <w:tblLook w:val="0000" w:firstRow="0" w:lastRow="0" w:firstColumn="0" w:lastColumn="0" w:noHBand="0" w:noVBand="0"/>
      </w:tblPr>
      <w:tblGrid>
        <w:gridCol w:w="8614"/>
      </w:tblGrid>
      <w:tr w:rsidR="00072784" w14:paraId="76EDD77B" w14:textId="77777777">
        <w:tc>
          <w:tcPr>
            <w:tcW w:w="8614" w:type="dxa"/>
            <w:tcBorders>
              <w:top w:val="single" w:sz="6" w:space="0" w:color="000000"/>
              <w:left w:val="single" w:sz="6" w:space="0" w:color="000000"/>
              <w:bottom w:val="single" w:sz="4" w:space="0" w:color="000000"/>
              <w:right w:val="single" w:sz="6" w:space="0" w:color="000000"/>
            </w:tcBorders>
            <w:shd w:val="clear" w:color="auto" w:fill="EDEDED"/>
            <w:tcMar>
              <w:top w:w="0" w:type="dxa"/>
              <w:left w:w="108" w:type="dxa"/>
              <w:bottom w:w="0" w:type="dxa"/>
              <w:right w:w="108" w:type="dxa"/>
            </w:tcMar>
          </w:tcPr>
          <w:p w14:paraId="76EDD77A" w14:textId="77777777" w:rsidR="00072784" w:rsidRDefault="00243E5E">
            <w:pPr>
              <w:pStyle w:val="Nadpis1"/>
            </w:pPr>
            <w:r>
              <w:t>Overall description of the initiative</w:t>
            </w:r>
          </w:p>
        </w:tc>
      </w:tr>
      <w:tr w:rsidR="00072784" w14:paraId="76EDD781" w14:textId="77777777">
        <w:tc>
          <w:tcPr>
            <w:tcW w:w="8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DD77C" w14:textId="77777777" w:rsidR="00072784" w:rsidRDefault="00243E5E">
            <w:pPr>
              <w:pStyle w:val="Standard"/>
            </w:pPr>
            <w:r>
              <w:rPr>
                <w:i/>
                <w:iCs/>
              </w:rPr>
              <w:t>Please describe the overall planned area of intervention and the intended possible nature of policy intervention/projects. This could be linked either to specific technology, a value chain or a sector / value chain.</w:t>
            </w:r>
          </w:p>
          <w:p w14:paraId="76EDD77D" w14:textId="77777777" w:rsidR="00072784" w:rsidRDefault="00243E5E">
            <w:pPr>
              <w:pStyle w:val="Standard"/>
            </w:pPr>
            <w:r>
              <w:t xml:space="preserve">The potential Nuclear IPCEI could </w:t>
            </w:r>
            <w:r>
              <w:rPr>
                <w:b/>
                <w:bCs/>
              </w:rPr>
              <w:t>support the development of the EU’s domestic industrial capacities in uranium processing and associated fuel services, waste management and decommissioning</w:t>
            </w:r>
            <w:r>
              <w:t>. This will be essential in order to support the EU’s efforts to maintain and develop nuclear energy’s contribution to its decarbonisation and energy security objectives, as well as its open strategic autonomy. Uranium processing and associated fuel services markets are indeed faced with rising global competition. Meanwhile, the development of the EU’s nuclear fleet will require for Member States to enhance their knowledge and skills with regards to designing and exploiting waste management and decommission</w:t>
            </w:r>
            <w:r>
              <w:t>ing processes and infrastructure, minimising environmental impacts. In this context, coordination and cooperation between Member States will be key to ensure their synergies, capitalise on their respective experience and expertise, optimise their investments, support public-private cross-fertilisation and contribute to preserving the EU’s strategic autonomy.</w:t>
            </w:r>
          </w:p>
          <w:p w14:paraId="76EDD77E" w14:textId="77777777" w:rsidR="00072784" w:rsidRDefault="00243E5E">
            <w:pPr>
              <w:pStyle w:val="Standard"/>
            </w:pPr>
            <w:r>
              <w:t xml:space="preserve">The EU already benefits from an experienced, globally-recognised nuclear industrial ecosystem, spread across its Member States, including in the up- and downstream of the nuclear fuel value chain. As part of a consultation process involving national nuclear industries and led by those Member States interested in a potential Nuclear IPCEI, a number of projects have been identified as eligible. Particularly on uranium processing and associated fuel services, waste management and decommissioning, </w:t>
            </w:r>
            <w:r>
              <w:rPr>
                <w:b/>
                <w:bCs/>
              </w:rPr>
              <w:t>Member States</w:t>
            </w:r>
            <w:r>
              <w:rPr>
                <w:b/>
              </w:rPr>
              <w:t xml:space="preserve"> </w:t>
            </w:r>
            <w:r>
              <w:rPr>
                <w:b/>
                <w:bCs/>
              </w:rPr>
              <w:t>have confirmed interest from their industry and identified concrete projects in: used fuel recycling; alternative fuel designs with improvements related to safety; waste management; dismantling and decommissioning; and geological disposal infrastructures</w:t>
            </w:r>
            <w:r>
              <w:t xml:space="preserve">. </w:t>
            </w:r>
          </w:p>
          <w:p w14:paraId="76EDD77F" w14:textId="77777777" w:rsidR="00072784" w:rsidRDefault="00243E5E">
            <w:pPr>
              <w:pStyle w:val="Standard"/>
            </w:pPr>
            <w:r>
              <w:t>Projects that could be supported should be compliant with the “polluter pays” principle.</w:t>
            </w:r>
          </w:p>
          <w:p w14:paraId="76EDD780" w14:textId="77777777" w:rsidR="00072784" w:rsidRDefault="00243E5E">
            <w:pPr>
              <w:pStyle w:val="Standard"/>
            </w:pPr>
            <w:r>
              <w:t>An EU-level systemic approach to financing these projects, such as an IPCEI, would help to ensure synergies and contribute to the emergence and strengthening of a domestic, European nuclear fuel industrial ecosystem.</w:t>
            </w:r>
          </w:p>
        </w:tc>
      </w:tr>
      <w:tr w:rsidR="00072784" w14:paraId="76EDD783" w14:textId="77777777">
        <w:tc>
          <w:tcPr>
            <w:tcW w:w="8614" w:type="dxa"/>
            <w:tcBorders>
              <w:top w:val="single" w:sz="4" w:space="0" w:color="000000"/>
              <w:bottom w:val="single" w:sz="4" w:space="0" w:color="000000"/>
            </w:tcBorders>
            <w:tcMar>
              <w:top w:w="0" w:type="dxa"/>
              <w:left w:w="108" w:type="dxa"/>
              <w:bottom w:w="0" w:type="dxa"/>
              <w:right w:w="108" w:type="dxa"/>
            </w:tcMar>
          </w:tcPr>
          <w:p w14:paraId="76EDD782" w14:textId="77777777" w:rsidR="00072784" w:rsidRDefault="00072784">
            <w:pPr>
              <w:pStyle w:val="Standard"/>
              <w:rPr>
                <w:i/>
                <w:iCs/>
              </w:rPr>
            </w:pPr>
          </w:p>
        </w:tc>
      </w:tr>
      <w:tr w:rsidR="00072784" w14:paraId="76EDD785" w14:textId="77777777">
        <w:tc>
          <w:tcPr>
            <w:tcW w:w="861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tcPr>
          <w:p w14:paraId="76EDD784" w14:textId="77777777" w:rsidR="00072784" w:rsidRDefault="00243E5E">
            <w:pPr>
              <w:pStyle w:val="Nadpis1"/>
            </w:pPr>
            <w:r>
              <w:lastRenderedPageBreak/>
              <w:t>Political and industrial policy objectives</w:t>
            </w:r>
          </w:p>
        </w:tc>
      </w:tr>
      <w:tr w:rsidR="00072784" w14:paraId="76EDD797" w14:textId="77777777">
        <w:tc>
          <w:tcPr>
            <w:tcW w:w="8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DD786" w14:textId="77777777" w:rsidR="00072784" w:rsidRDefault="00243E5E">
            <w:pPr>
              <w:pStyle w:val="Standard"/>
            </w:pPr>
            <w:r>
              <w:rPr>
                <w:i/>
                <w:iCs/>
              </w:rPr>
              <w:t>This section aims at assessing the key policy objectives of the initiative from an economic, industrial and research objectives.</w:t>
            </w:r>
          </w:p>
          <w:p w14:paraId="76EDD787" w14:textId="77777777" w:rsidR="00072784" w:rsidRDefault="00243E5E">
            <w:pPr>
              <w:pStyle w:val="Nadpis2"/>
            </w:pPr>
            <w:r>
              <w:t>What is the problem that the initiative aims at solving?  What is the “cause” of the intervention and why is it important?</w:t>
            </w:r>
          </w:p>
          <w:p w14:paraId="76EDD788" w14:textId="77777777" w:rsidR="00072784" w:rsidRDefault="00243E5E">
            <w:pPr>
              <w:pStyle w:val="Text2"/>
              <w:ind w:left="0"/>
            </w:pPr>
            <w:r>
              <w:t xml:space="preserve">As the EU seeks to decarbonise its energy mix, alongside its entire economy, nuclear energy was identified as having a key role to play. In May 2023, 12 Member States have expressed their support to nuclear power and ambition to develop the EU’s overall capacity, which could reach 150 GW by 2050. In order to achieve this goal, </w:t>
            </w:r>
            <w:r>
              <w:rPr>
                <w:b/>
              </w:rPr>
              <w:t>the EU will need to significantly boost investments in the nuclear sector, including in the up- and downstream segments of the value chain</w:t>
            </w:r>
            <w:r>
              <w:t>.</w:t>
            </w:r>
          </w:p>
          <w:p w14:paraId="76EDD789" w14:textId="77777777" w:rsidR="00072784" w:rsidRDefault="00243E5E">
            <w:pPr>
              <w:pStyle w:val="Normlnywebov"/>
              <w:spacing w:after="238" w:line="240" w:lineRule="auto"/>
              <w:rPr>
                <w:lang w:val="en-GB"/>
              </w:rPr>
            </w:pPr>
            <w:r>
              <w:rPr>
                <w:lang w:val="en-GB"/>
              </w:rPr>
              <w:t>In particular, with reference to the innovative technologies/approaches, crucial elements are:</w:t>
            </w:r>
          </w:p>
          <w:p w14:paraId="76EDD78A" w14:textId="77777777" w:rsidR="00072784" w:rsidRDefault="00243E5E">
            <w:pPr>
              <w:pStyle w:val="Normlnywebov"/>
              <w:numPr>
                <w:ilvl w:val="0"/>
                <w:numId w:val="50"/>
              </w:numPr>
              <w:spacing w:after="238" w:line="240" w:lineRule="auto"/>
              <w:rPr>
                <w:lang w:val="en-GB"/>
              </w:rPr>
            </w:pPr>
            <w:r>
              <w:rPr>
                <w:lang w:val="en-GB"/>
              </w:rPr>
              <w:t>The strengthening of a logistics and industrial infrastructure for all phases of design, manufacturing and management of nuclear fuels;</w:t>
            </w:r>
          </w:p>
          <w:p w14:paraId="76EDD78B" w14:textId="77777777" w:rsidR="00072784" w:rsidRDefault="00243E5E">
            <w:pPr>
              <w:pStyle w:val="Normlnywebov"/>
              <w:numPr>
                <w:ilvl w:val="0"/>
                <w:numId w:val="50"/>
              </w:numPr>
              <w:spacing w:after="238" w:line="240" w:lineRule="auto"/>
              <w:rPr>
                <w:lang w:val="en-GB"/>
              </w:rPr>
            </w:pPr>
            <w:r>
              <w:rPr>
                <w:lang w:val="en-GB"/>
              </w:rPr>
              <w:t xml:space="preserve">Research and development in the decommissioning tools/processes and in the management of radioactive waste, both operational and decommissioning, resulting from the introduction of new types of reactors and innovative material selection processes. </w:t>
            </w:r>
          </w:p>
          <w:p w14:paraId="76EDD78C" w14:textId="77777777" w:rsidR="00072784" w:rsidRDefault="00243E5E">
            <w:pPr>
              <w:pStyle w:val="Normlnywebov"/>
              <w:spacing w:after="238" w:line="240" w:lineRule="auto"/>
              <w:rPr>
                <w:lang w:val="en-GB"/>
              </w:rPr>
            </w:pPr>
            <w:r>
              <w:rPr>
                <w:lang w:val="en-GB"/>
              </w:rPr>
              <w:t>The Euratom Supply Agency outlines the EU dependency on crucial services such as fuel production, conversion and enrichment services on third countries, among which Russia remains a major player.</w:t>
            </w:r>
          </w:p>
          <w:p w14:paraId="76EDD78D" w14:textId="77777777" w:rsidR="00072784" w:rsidRDefault="00243E5E">
            <w:pPr>
              <w:pStyle w:val="Text2"/>
              <w:ind w:left="0"/>
            </w:pPr>
            <w:r>
              <w:t>An IPCEI would help boosting investments into nuclear fuel cycle projects. It would enable participating Member States to provide significant support to the nuclear fuel cycle industry, up- and downstream of the value chain, in order to conduct structural strategic projects. In turn, this would send a positive signal to private investors, and contribute to providing political, regulatory, and economic certainty.  Ultimately, an IPCEI would ensure the coherence and consistence of all of these investments acr</w:t>
            </w:r>
            <w:r>
              <w:t xml:space="preserve">oss the EU, and support the emergence of an integrated domestic industrial ecosystem </w:t>
            </w:r>
            <w:r>
              <w:rPr>
                <w:i/>
                <w:iCs/>
              </w:rPr>
              <w:t>as well as innovative EU-led RD&amp;I in waste management and fuel cycle technologies.</w:t>
            </w:r>
          </w:p>
          <w:p w14:paraId="76EDD78E" w14:textId="77777777" w:rsidR="00072784" w:rsidRDefault="00243E5E">
            <w:pPr>
              <w:pStyle w:val="Nadpis2"/>
            </w:pPr>
            <w:r>
              <w:rPr>
                <w:lang w:val="en-IE"/>
              </w:rPr>
              <w:t xml:space="preserve">To what EU policy objectives will the initiative contribute? </w:t>
            </w:r>
            <w:r>
              <w:t>Does it have a significant impact on sustainable growth?</w:t>
            </w:r>
          </w:p>
          <w:p w14:paraId="76EDD78F" w14:textId="77777777" w:rsidR="00072784" w:rsidRDefault="00243E5E">
            <w:pPr>
              <w:pStyle w:val="Text2"/>
              <w:ind w:left="0"/>
            </w:pPr>
            <w:r>
              <w:t xml:space="preserve">This initiative would contribute to the EU’s </w:t>
            </w:r>
            <w:r>
              <w:rPr>
                <w:b/>
                <w:bCs/>
              </w:rPr>
              <w:t>energy transition</w:t>
            </w:r>
            <w:r>
              <w:t xml:space="preserve">, by supporting the deployment of the nuclear fuel cycle technologies and industrial capacities needed to boost its nuclear energy generation. It would also contribute to the EU’s </w:t>
            </w:r>
            <w:r>
              <w:rPr>
                <w:b/>
                <w:bCs/>
              </w:rPr>
              <w:t>energy security</w:t>
            </w:r>
            <w:r>
              <w:t xml:space="preserve"> and </w:t>
            </w:r>
            <w:r>
              <w:rPr>
                <w:b/>
                <w:bCs/>
              </w:rPr>
              <w:t>strategic autonomy</w:t>
            </w:r>
            <w:r>
              <w:t xml:space="preserve">, by supporting the development of its own domestic technologies and industrial capacities in the field of uranium processing and associated fuel services. This initiative would contribute to the EU’s </w:t>
            </w:r>
            <w:r>
              <w:rPr>
                <w:b/>
                <w:bCs/>
              </w:rPr>
              <w:t>circular economy</w:t>
            </w:r>
            <w:r>
              <w:t xml:space="preserve"> as well, by developing sustainable waste management, and decommissioning capabilities </w:t>
            </w:r>
            <w:r>
              <w:rPr>
                <w:i/>
                <w:iCs/>
              </w:rPr>
              <w:t>and accelerating towards closing the fuel cycle.</w:t>
            </w:r>
            <w:r>
              <w:t xml:space="preserve"> Ultimately, it would contribute to the </w:t>
            </w:r>
            <w:r>
              <w:rPr>
                <w:b/>
                <w:bCs/>
              </w:rPr>
              <w:t>environmental protection</w:t>
            </w:r>
            <w:r>
              <w:t xml:space="preserve"> in the EU, by supporting the deployment of best state-of-the-art waste management and decommissioning technologies. Eventually, this initiative would contribute to providing the EU with sustainable low-carbon, secure energy </w:t>
            </w:r>
            <w:r>
              <w:lastRenderedPageBreak/>
              <w:t xml:space="preserve">technologies, and in turn, green energy generation capacities. It would contribute to creating new </w:t>
            </w:r>
            <w:r>
              <w:rPr>
                <w:b/>
                <w:bCs/>
              </w:rPr>
              <w:t>green jobs, skills</w:t>
            </w:r>
            <w:r>
              <w:t>, as well as potential for export.</w:t>
            </w:r>
          </w:p>
          <w:p w14:paraId="76EDD790" w14:textId="77777777" w:rsidR="00072784" w:rsidRDefault="00243E5E">
            <w:pPr>
              <w:pStyle w:val="Normlnywebov"/>
              <w:spacing w:after="238" w:line="240" w:lineRule="auto"/>
              <w:rPr>
                <w:lang w:val="en-GB"/>
              </w:rPr>
            </w:pPr>
            <w:r>
              <w:rPr>
                <w:lang w:val="en-GB"/>
              </w:rPr>
              <w:t xml:space="preserve">Nuclear energy can serve as a cornerstone for sustainable growth by providing a reliable, low-carbon baseload power supply that contributes to achieving emission reduction goals, while aligning with the objectives of the European Commission's Important Projects of Common European Interest (IPCEI). Innovative technologies like Small Modular Reactors (SMRs) and </w:t>
            </w:r>
            <w:r>
              <w:rPr>
                <w:i/>
                <w:iCs/>
                <w:lang w:val="en-GB"/>
              </w:rPr>
              <w:t xml:space="preserve">Advanced Modular Reactors (AMRs) </w:t>
            </w:r>
            <w:r>
              <w:rPr>
                <w:lang w:val="en-GB"/>
              </w:rPr>
              <w:t>exemplify the innovative solutions promoted by the IPCEI framework, offering flexible operation and smaller footprints to support grid stability and enable the integration of renewables. Nuclear energy directly contributes to decarbonization goals and addresses key societal challenges by providing near-zero-emission power, enhancing energy security, and reducing reliance on fossil fuel imports. By fostering economic growth through qualified job creation, infrastructure development, and strategic autonomy, n</w:t>
            </w:r>
            <w:r>
              <w:rPr>
                <w:lang w:val="en-GB"/>
              </w:rPr>
              <w:t>uclear projects align with the IPCEI’s focus on strengthening Europe’s competitiveness and resilience. Furthermore, nuclear initiatives inherently involve cross-border collaboration in technology sharing and supply chain integration, embodying the transnational cooperation emphasized by the IPCEI. With supportive policies and financing mechanisms under the IPCEI framework, nuclear power can drive sustainable development, innovation, and energy security, positioning it as a vital component of the EU’s energy</w:t>
            </w:r>
            <w:r>
              <w:rPr>
                <w:lang w:val="en-GB"/>
              </w:rPr>
              <w:t xml:space="preserve"> transition.</w:t>
            </w:r>
          </w:p>
          <w:p w14:paraId="76EDD791" w14:textId="77777777" w:rsidR="00072784" w:rsidRDefault="00243E5E">
            <w:pPr>
              <w:pStyle w:val="Nadpis2"/>
            </w:pPr>
            <w:r>
              <w:t>What are the industrial policy challenges to overcome in the area?</w:t>
            </w:r>
          </w:p>
          <w:p w14:paraId="76EDD792" w14:textId="77777777" w:rsidR="00072784" w:rsidRDefault="00243E5E">
            <w:pPr>
              <w:pStyle w:val="Text2"/>
              <w:ind w:left="0"/>
              <w:rPr>
                <w:i/>
                <w:iCs/>
              </w:rPr>
            </w:pPr>
            <w:r>
              <w:t>In order to maintain and deploy the additional nuclear energy generation capacities needed for nuclear to play its part in decarbonising the EU’s energy mix, the upstream segments of the nuclear energy value chain, particularly uranium processing and associated fuel services, as well as its downstream segments, namely decommissioning, waste management and geological disposal, will require an appropriate level of support. Industrial policy challenges faced by these particular segments include: developing cur</w:t>
            </w:r>
            <w:r>
              <w:t xml:space="preserve">rent industrial capacities in order to </w:t>
            </w:r>
            <w:r>
              <w:rPr>
                <w:b/>
                <w:bCs/>
              </w:rPr>
              <w:t>match the rising demand</w:t>
            </w:r>
            <w:r>
              <w:t xml:space="preserve">; developing our current domestic industrial capacities in order to </w:t>
            </w:r>
            <w:r>
              <w:rPr>
                <w:b/>
                <w:bCs/>
              </w:rPr>
              <w:t>diversify our current supplies</w:t>
            </w:r>
            <w:r>
              <w:t xml:space="preserve"> and </w:t>
            </w:r>
            <w:r>
              <w:rPr>
                <w:b/>
                <w:bCs/>
              </w:rPr>
              <w:t>protect our strategic autonomy</w:t>
            </w:r>
            <w:r>
              <w:t>, in line with “</w:t>
            </w:r>
            <w:proofErr w:type="spellStart"/>
            <w:r>
              <w:t>RePowerEU</w:t>
            </w:r>
            <w:proofErr w:type="spellEnd"/>
            <w:r>
              <w:t xml:space="preserve">”; developing new capacities to </w:t>
            </w:r>
            <w:r>
              <w:rPr>
                <w:b/>
                <w:bCs/>
              </w:rPr>
              <w:t xml:space="preserve">adapt to the needs of the nuclear technologies of the future </w:t>
            </w:r>
            <w:r>
              <w:rPr>
                <w:b/>
                <w:bCs/>
                <w:i/>
                <w:iCs/>
              </w:rPr>
              <w:t>such as SMRs and AMRs</w:t>
            </w:r>
            <w:r>
              <w:rPr>
                <w:i/>
                <w:iCs/>
              </w:rPr>
              <w:t>.</w:t>
            </w:r>
          </w:p>
          <w:p w14:paraId="76EDD793" w14:textId="77777777" w:rsidR="00072784" w:rsidRDefault="00243E5E">
            <w:pPr>
              <w:pStyle w:val="Nadpis2"/>
            </w:pPr>
            <w:r>
              <w:t>What types of research and development and innovation or first industrial deployment activities (</w:t>
            </w:r>
            <w:r>
              <w:rPr>
                <w:rStyle w:val="Odkaznapoznmkupodiarou"/>
              </w:rPr>
              <w:footnoteReference w:id="3"/>
            </w:r>
            <w:r>
              <w:t>) need to be conducted? For RDI-activities, why would they be of major innovative nature or constitute an important added value in light of the state of the art? For FID activities, why do they allow for the development of a new product or service with high research and innovation content or the deployment of a fundamentally innovative production process?</w:t>
            </w:r>
          </w:p>
          <w:p w14:paraId="76EDD794" w14:textId="77777777" w:rsidR="00072784" w:rsidRDefault="00243E5E">
            <w:pPr>
              <w:pStyle w:val="Normlnywebov"/>
              <w:spacing w:after="240" w:line="240" w:lineRule="auto"/>
              <w:rPr>
                <w:lang w:val="en-GB"/>
              </w:rPr>
            </w:pPr>
            <w:r>
              <w:rPr>
                <w:lang w:val="en-US"/>
              </w:rPr>
              <w:t xml:space="preserve">EU Member States </w:t>
            </w:r>
            <w:r>
              <w:rPr>
                <w:b/>
                <w:bCs/>
                <w:lang w:val="en-US"/>
              </w:rPr>
              <w:t xml:space="preserve">already possess most of the technologies </w:t>
            </w:r>
            <w:r>
              <w:rPr>
                <w:lang w:val="en-US"/>
              </w:rPr>
              <w:t xml:space="preserve">they wish to deploy as part of the scope of this initiative and of their efforts to diversify their uranium processing and associated fuel services, waste management and decommissioning capacities and supply sources. However, there could be areas of interest for participating EU Member States to conduct RD&amp;I and/or first industrial deployment activities in this area. </w:t>
            </w:r>
            <w:r>
              <w:rPr>
                <w:lang w:val="en-GB"/>
              </w:rPr>
              <w:t xml:space="preserve">This will need to be confirmed by interested Member States as part of this assessment </w:t>
            </w:r>
            <w:r>
              <w:rPr>
                <w:lang w:val="en-GB"/>
              </w:rPr>
              <w:lastRenderedPageBreak/>
              <w:t>process. For example, for Romania, a potential IPCEI project would envisage RDI activities for pre-commercial stages of a first of a kind industrial complex for the processing of uranium ore in order to obtain nuclear raw material for CANDU and SMR light-water reactors, respectively for the processing of beryllium ore in order to obtain metallic beryllium. However, capacities need to be scaled up and several innovations can reduce costs - for instance low-cost storage in ultra-deep large diameter boreholes.</w:t>
            </w:r>
            <w:r>
              <w:rPr>
                <w:lang w:val="en-GB"/>
              </w:rPr>
              <w:t xml:space="preserve"> In addition, several new technologies need to be developed, including the production of fuels.</w:t>
            </w:r>
          </w:p>
          <w:p w14:paraId="76EDD795" w14:textId="77777777" w:rsidR="00072784" w:rsidRDefault="00243E5E">
            <w:pPr>
              <w:pStyle w:val="Nadpis2"/>
            </w:pPr>
            <w:r>
              <w:rPr>
                <w:lang w:val="en-IE"/>
              </w:rPr>
              <w:t>Is the initiative related to an integrated infrastructure project in the environmental, energy, transport, health or digital sectors? If yes, please explain why it is of great importance for the respective EU strategies or why it will contribute significantly to the internal market.</w:t>
            </w:r>
          </w:p>
          <w:p w14:paraId="76EDD796" w14:textId="77777777" w:rsidR="00072784" w:rsidRDefault="00243E5E">
            <w:pPr>
              <w:pStyle w:val="Text2"/>
              <w:ind w:left="0"/>
            </w:pPr>
            <w:r>
              <w:t xml:space="preserve">Energy, including nuclear energy, is a strategic sector for the EU. In line with the </w:t>
            </w:r>
            <w:r>
              <w:rPr>
                <w:b/>
                <w:bCs/>
              </w:rPr>
              <w:t>“</w:t>
            </w:r>
            <w:proofErr w:type="spellStart"/>
            <w:r>
              <w:rPr>
                <w:b/>
                <w:bCs/>
              </w:rPr>
              <w:t>RePowerEU</w:t>
            </w:r>
            <w:proofErr w:type="spellEnd"/>
            <w:r>
              <w:rPr>
                <w:b/>
                <w:bCs/>
              </w:rPr>
              <w:t>” plan</w:t>
            </w:r>
            <w:r>
              <w:t>, the EU must aim at reducing and/or preventing any dependencies in this area, by diversifying its supply sources and/or developing its own domestic ones. Investing into the development of the EU’s domestic capacities in uranium processing and associated fuel services, waste management and decommissioning via an IPCEI would contribute to this overarching objective and to protecting the EU’s strategic autonomy.</w:t>
            </w:r>
          </w:p>
        </w:tc>
      </w:tr>
      <w:tr w:rsidR="00072784" w14:paraId="76EDD799" w14:textId="77777777">
        <w:tc>
          <w:tcPr>
            <w:tcW w:w="8614" w:type="dxa"/>
            <w:tcBorders>
              <w:top w:val="single" w:sz="4" w:space="0" w:color="000000"/>
              <w:bottom w:val="single" w:sz="4" w:space="0" w:color="000000"/>
            </w:tcBorders>
            <w:tcMar>
              <w:top w:w="0" w:type="dxa"/>
              <w:left w:w="108" w:type="dxa"/>
              <w:bottom w:w="0" w:type="dxa"/>
              <w:right w:w="108" w:type="dxa"/>
            </w:tcMar>
          </w:tcPr>
          <w:p w14:paraId="76EDD798" w14:textId="77777777" w:rsidR="00072784" w:rsidRDefault="00072784">
            <w:pPr>
              <w:pStyle w:val="Standard"/>
              <w:rPr>
                <w:i/>
                <w:iCs/>
              </w:rPr>
            </w:pPr>
          </w:p>
        </w:tc>
      </w:tr>
      <w:tr w:rsidR="00072784" w14:paraId="76EDD79B" w14:textId="77777777">
        <w:tc>
          <w:tcPr>
            <w:tcW w:w="861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tcPr>
          <w:p w14:paraId="76EDD79A" w14:textId="77777777" w:rsidR="00072784" w:rsidRDefault="00243E5E">
            <w:pPr>
              <w:pStyle w:val="Nadpis1"/>
            </w:pPr>
            <w:r>
              <w:t>EU Dimension</w:t>
            </w:r>
          </w:p>
        </w:tc>
      </w:tr>
      <w:tr w:rsidR="00072784" w14:paraId="76EDD7AB" w14:textId="77777777">
        <w:tc>
          <w:tcPr>
            <w:tcW w:w="8614"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14:paraId="76EDD79C" w14:textId="77777777" w:rsidR="00072784" w:rsidRDefault="00243E5E">
            <w:pPr>
              <w:pStyle w:val="Standard"/>
            </w:pPr>
            <w:r>
              <w:rPr>
                <w:i/>
                <w:iCs/>
              </w:rPr>
              <w:t>This section aims at assessing the relevance of an intervention at EU level in the proposed area.</w:t>
            </w:r>
          </w:p>
          <w:p w14:paraId="76EDD79D" w14:textId="77777777" w:rsidR="00072784" w:rsidRDefault="00243E5E">
            <w:pPr>
              <w:pStyle w:val="Nadpis2"/>
            </w:pPr>
            <w:r>
              <w:t>What would be the EU value-added of an intervention in this area?</w:t>
            </w:r>
          </w:p>
          <w:p w14:paraId="76EDD79E" w14:textId="77777777" w:rsidR="00072784" w:rsidRDefault="00243E5E">
            <w:pPr>
              <w:pStyle w:val="Text2"/>
              <w:ind w:left="0"/>
            </w:pPr>
            <w:r>
              <w:t>An IPCEI would ensure coordination in the development of</w:t>
            </w:r>
            <w:r>
              <w:rPr>
                <w:rFonts w:eastAsia="Calibri"/>
              </w:rPr>
              <w:t xml:space="preserve"> industrial capacities </w:t>
            </w:r>
            <w:r>
              <w:t>in uranium processing and associated fuel services, fuel processing, waste management and decommissioning</w:t>
            </w:r>
            <w:r>
              <w:rPr>
                <w:rFonts w:eastAsia="Calibri"/>
              </w:rPr>
              <w:t xml:space="preserve"> and the diversification of sufficient supply sources at European level. </w:t>
            </w:r>
          </w:p>
          <w:p w14:paraId="76EDD79F" w14:textId="77777777" w:rsidR="00072784" w:rsidRDefault="00243E5E">
            <w:pPr>
              <w:pStyle w:val="Text2"/>
              <w:ind w:left="0"/>
            </w:pPr>
            <w:r>
              <w:rPr>
                <w:rFonts w:eastAsia="Calibri"/>
              </w:rPr>
              <w:t>The massive investment needs associated with the necessity to match the rising demand require the ability to leverage domestic capacities from across the EU. In a context of intensifying electrification demand and competitiveness pressures, extending Europe’s nuclear capacities will enable nuclear to contribute to achieving emission reduction goals and reducing dependence on fossil fuels, ensuring that companies have access to a competitive, stable, and predictable supply of decarbonised energy. EU collabor</w:t>
            </w:r>
            <w:r>
              <w:rPr>
                <w:rFonts w:eastAsia="Calibri"/>
              </w:rPr>
              <w:t>ation in this area would curb the risk of isolated emerging initiatives within the EU but also between the EU and other regions in the world. This will ultimately support and strengthen European strategic autonomy.</w:t>
            </w:r>
          </w:p>
          <w:p w14:paraId="76EDD7A0" w14:textId="77777777" w:rsidR="00072784" w:rsidRDefault="00243E5E">
            <w:pPr>
              <w:pStyle w:val="Nadpis2"/>
            </w:pPr>
            <w:r>
              <w:t>Which positive spill-over effects to the EU economy/society would the initiative deliver?</w:t>
            </w:r>
          </w:p>
          <w:p w14:paraId="76EDD7A1" w14:textId="77777777" w:rsidR="00072784" w:rsidRDefault="00243E5E">
            <w:pPr>
              <w:pStyle w:val="Text2"/>
              <w:ind w:left="0"/>
            </w:pPr>
            <w:r>
              <w:t>By facilitating access to domestic capacities in uranium processing and associated fuel services, waste management and decommissioning throughout Europe, the initiative will:</w:t>
            </w:r>
          </w:p>
          <w:p w14:paraId="76EDD7A2" w14:textId="77777777" w:rsidR="00072784" w:rsidRDefault="00243E5E">
            <w:pPr>
              <w:pStyle w:val="Text2"/>
              <w:numPr>
                <w:ilvl w:val="0"/>
                <w:numId w:val="48"/>
              </w:numPr>
            </w:pPr>
            <w:r>
              <w:rPr>
                <w:b/>
                <w:bCs/>
              </w:rPr>
              <w:lastRenderedPageBreak/>
              <w:t>Help creating new opportunities for economic development</w:t>
            </w:r>
            <w:r>
              <w:t xml:space="preserve"> in the nuclear energy sector and the (high-tech) manufacturing industry;</w:t>
            </w:r>
          </w:p>
          <w:p w14:paraId="76EDD7A3" w14:textId="77777777" w:rsidR="00072784" w:rsidRDefault="00243E5E">
            <w:pPr>
              <w:pStyle w:val="Text2"/>
              <w:numPr>
                <w:ilvl w:val="0"/>
                <w:numId w:val="48"/>
              </w:numPr>
            </w:pPr>
            <w:r>
              <w:rPr>
                <w:b/>
                <w:bCs/>
              </w:rPr>
              <w:t>Support job creation</w:t>
            </w:r>
            <w:r>
              <w:t xml:space="preserve">, </w:t>
            </w:r>
            <w:r>
              <w:rPr>
                <w:szCs w:val="22"/>
              </w:rPr>
              <w:t xml:space="preserve">by creating high-quality jobs in the development of industrial capacities </w:t>
            </w:r>
            <w:r>
              <w:t>in uranium processing and associated fuel services, waste management and decommissioning</w:t>
            </w:r>
            <w:r>
              <w:rPr>
                <w:szCs w:val="22"/>
              </w:rPr>
              <w:t>, contributing to overall economic growth and regional development;</w:t>
            </w:r>
          </w:p>
          <w:p w14:paraId="76EDD7A4" w14:textId="77777777" w:rsidR="00072784" w:rsidRDefault="00243E5E">
            <w:pPr>
              <w:pStyle w:val="Text2"/>
              <w:numPr>
                <w:ilvl w:val="0"/>
                <w:numId w:val="48"/>
              </w:numPr>
            </w:pPr>
            <w:r>
              <w:rPr>
                <w:b/>
                <w:bCs/>
              </w:rPr>
              <w:t>Industrial Competitiveness and Innovation</w:t>
            </w:r>
            <w:r>
              <w:t xml:space="preserve"> based on technological leadership, job creation and growth;</w:t>
            </w:r>
          </w:p>
          <w:p w14:paraId="76EDD7A5" w14:textId="77777777" w:rsidR="00072784" w:rsidRDefault="00243E5E">
            <w:pPr>
              <w:pStyle w:val="Text2"/>
              <w:numPr>
                <w:ilvl w:val="0"/>
                <w:numId w:val="48"/>
              </w:numPr>
            </w:pPr>
            <w:r>
              <w:rPr>
                <w:b/>
                <w:bCs/>
              </w:rPr>
              <w:t>Provide sustainable solutions</w:t>
            </w:r>
            <w:r>
              <w:t>, by enhancing the management of radioactive and spent fuel waste, including possible recycling/circular economy;</w:t>
            </w:r>
          </w:p>
          <w:p w14:paraId="76EDD7A6" w14:textId="77777777" w:rsidR="00072784" w:rsidRDefault="00243E5E">
            <w:pPr>
              <w:pStyle w:val="Text2"/>
              <w:numPr>
                <w:ilvl w:val="0"/>
                <w:numId w:val="48"/>
              </w:numPr>
            </w:pPr>
            <w:r>
              <w:rPr>
                <w:b/>
                <w:bCs/>
              </w:rPr>
              <w:t>Strengthens the EU’s position in the global nuclear economy</w:t>
            </w:r>
            <w:r>
              <w:t xml:space="preserve">, </w:t>
            </w:r>
            <w:r>
              <w:rPr>
                <w:color w:val="000000"/>
                <w:szCs w:val="22"/>
              </w:rPr>
              <w:t>by enhancing the competitiveness of European companies in global markets</w:t>
            </w:r>
            <w:r>
              <w:t>;</w:t>
            </w:r>
          </w:p>
          <w:p w14:paraId="76EDD7A7" w14:textId="77777777" w:rsidR="00072784" w:rsidRDefault="00243E5E">
            <w:pPr>
              <w:pStyle w:val="Text2"/>
              <w:numPr>
                <w:ilvl w:val="0"/>
                <w:numId w:val="48"/>
              </w:numPr>
              <w:rPr>
                <w:u w:val="single"/>
              </w:rPr>
            </w:pPr>
            <w:r>
              <w:rPr>
                <w:b/>
                <w:bCs/>
              </w:rPr>
              <w:t>Collaboration and knowledge sharing</w:t>
            </w:r>
            <w:r>
              <w:t xml:space="preserve"> thanks to Pan-European Cooperation (the IPCEI fosters collaboration among research institutions, industries, and member states, promoting knowledge sharing and accelerating innovation in the nuclear fuel cycle) and standardization and best practise (the IPCEI can contribute to the development of harmonized standards and best practices for uranium processing, fuel services, waste management, and decommissioning across the EU, improving safety and efficiency);</w:t>
            </w:r>
          </w:p>
          <w:p w14:paraId="76EDD7A8" w14:textId="77777777" w:rsidR="00072784" w:rsidRDefault="00243E5E">
            <w:pPr>
              <w:pStyle w:val="Text2"/>
              <w:numPr>
                <w:ilvl w:val="0"/>
                <w:numId w:val="48"/>
              </w:numPr>
            </w:pPr>
            <w:r>
              <w:rPr>
                <w:b/>
                <w:bCs/>
              </w:rPr>
              <w:t xml:space="preserve">Public acceptance </w:t>
            </w:r>
            <w:r>
              <w:t>based on transparency and trust. By addressing waste management and decommissioning challenges head-on, the IPCEI can enhance transparency and build public trust in the long-term sustainability of nuclear energy.</w:t>
            </w:r>
          </w:p>
          <w:p w14:paraId="76EDD7A9" w14:textId="77777777" w:rsidR="00072784" w:rsidRDefault="00243E5E">
            <w:pPr>
              <w:pStyle w:val="Nadpis2"/>
            </w:pPr>
            <w:r>
              <w:t>Would the initiative address or aim to prevent a significant EU strategic dependency? If yes, please describe which dependency and how the initiative addresses it.</w:t>
            </w:r>
          </w:p>
          <w:p w14:paraId="76EDD7AA" w14:textId="77777777" w:rsidR="00072784" w:rsidRDefault="00243E5E">
            <w:pPr>
              <w:pStyle w:val="Text2"/>
              <w:ind w:left="0"/>
            </w:pPr>
            <w:r>
              <w:t xml:space="preserve">Yes, the initiative would contribute to the EU’s </w:t>
            </w:r>
            <w:r>
              <w:rPr>
                <w:b/>
                <w:bCs/>
              </w:rPr>
              <w:t>energy security</w:t>
            </w:r>
            <w:r>
              <w:t xml:space="preserve"> and </w:t>
            </w:r>
            <w:r>
              <w:rPr>
                <w:b/>
                <w:bCs/>
              </w:rPr>
              <w:t>strategic autonomy</w:t>
            </w:r>
            <w:r>
              <w:t>, in particular, by supporting the diversification and development of its own domestic technologies and industrial capacities in the field of uranium processing and associated fuel services. Today, around 20% of global capacities in uranium conversion and 40% in uranium enrichment are indeed concentrated in Russia. In line with the “</w:t>
            </w:r>
            <w:proofErr w:type="spellStart"/>
            <w:r>
              <w:t>RePowerEU</w:t>
            </w:r>
            <w:proofErr w:type="spellEnd"/>
            <w:r>
              <w:t xml:space="preserve">” plan, some initial Euratom funding was already dedicated to the development of alternative nuclear fuel supplies in the EU. This IPCEI could further contribute to the EU’s efforts to diversify its supply sources in uranium processing and associated fuel services. </w:t>
            </w:r>
          </w:p>
        </w:tc>
      </w:tr>
      <w:tr w:rsidR="00072784" w14:paraId="76EDD7AD" w14:textId="77777777">
        <w:tc>
          <w:tcPr>
            <w:tcW w:w="8614" w:type="dxa"/>
            <w:tcBorders>
              <w:top w:val="single" w:sz="4" w:space="0" w:color="000000"/>
              <w:bottom w:val="single" w:sz="4" w:space="0" w:color="000000"/>
            </w:tcBorders>
            <w:tcMar>
              <w:top w:w="0" w:type="dxa"/>
              <w:left w:w="108" w:type="dxa"/>
              <w:bottom w:w="0" w:type="dxa"/>
              <w:right w:w="108" w:type="dxa"/>
            </w:tcMar>
          </w:tcPr>
          <w:p w14:paraId="76EDD7AC" w14:textId="77777777" w:rsidR="00072784" w:rsidRDefault="00072784">
            <w:pPr>
              <w:pStyle w:val="Standard"/>
              <w:rPr>
                <w:i/>
                <w:iCs/>
              </w:rPr>
            </w:pPr>
          </w:p>
        </w:tc>
      </w:tr>
      <w:tr w:rsidR="00072784" w14:paraId="76EDD7AF" w14:textId="77777777">
        <w:tc>
          <w:tcPr>
            <w:tcW w:w="861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tcPr>
          <w:p w14:paraId="76EDD7AE" w14:textId="77777777" w:rsidR="00072784" w:rsidRDefault="00243E5E">
            <w:pPr>
              <w:pStyle w:val="Nadpis1"/>
            </w:pPr>
            <w:r>
              <w:t>Market Dimension</w:t>
            </w:r>
          </w:p>
        </w:tc>
      </w:tr>
      <w:tr w:rsidR="00072784" w14:paraId="76EDD7C6" w14:textId="77777777">
        <w:tc>
          <w:tcPr>
            <w:tcW w:w="8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DD7B0" w14:textId="77777777" w:rsidR="00072784" w:rsidRDefault="00243E5E">
            <w:pPr>
              <w:pStyle w:val="Standard"/>
            </w:pPr>
            <w:r>
              <w:rPr>
                <w:i/>
                <w:iCs/>
              </w:rPr>
              <w:t>The objective of this section is to assess whether there is a need for public intervention in the area.</w:t>
            </w:r>
          </w:p>
          <w:p w14:paraId="76EDD7B1" w14:textId="77777777" w:rsidR="00072784" w:rsidRDefault="00243E5E">
            <w:pPr>
              <w:pStyle w:val="Nadpis2"/>
            </w:pPr>
            <w:r>
              <w:lastRenderedPageBreak/>
              <w:t xml:space="preserve">What </w:t>
            </w:r>
            <w:proofErr w:type="gramStart"/>
            <w:r>
              <w:t>are</w:t>
            </w:r>
            <w:proofErr w:type="gramEnd"/>
            <w:r>
              <w:t xml:space="preserve"> the important market, systemic failures, or societal challenges that the initiative will address? Why is public intervention necessary?</w:t>
            </w:r>
          </w:p>
          <w:p w14:paraId="76EDD7B2" w14:textId="77777777" w:rsidR="00072784" w:rsidRDefault="00243E5E">
            <w:pPr>
              <w:pStyle w:val="Text2"/>
              <w:ind w:left="0"/>
            </w:pPr>
            <w:r>
              <w:t>The nuclear fuel supply chain is facing several market failures, hindering its financing:</w:t>
            </w:r>
          </w:p>
          <w:p w14:paraId="76EDD7B3" w14:textId="77777777" w:rsidR="00072784" w:rsidRDefault="00243E5E">
            <w:pPr>
              <w:pStyle w:val="Text2"/>
              <w:numPr>
                <w:ilvl w:val="0"/>
                <w:numId w:val="49"/>
              </w:numPr>
            </w:pPr>
            <w:r>
              <w:rPr>
                <w:b/>
                <w:bCs/>
              </w:rPr>
              <w:t>Imperfect and asymmetric information about the technological and financial risks</w:t>
            </w:r>
          </w:p>
          <w:p w14:paraId="76EDD7B4" w14:textId="77777777" w:rsidR="00072784" w:rsidRDefault="00243E5E">
            <w:pPr>
              <w:pStyle w:val="Text2"/>
              <w:ind w:left="0"/>
            </w:pPr>
            <w:r>
              <w:t>The nuclear fuel supply chain being tightly linked to nuclear energy production, is indirectly subject to the technological risks associated with the latter, and the uncertainty of future nuclear energy demand. Technological uncertainty in the field of energy generation is very high. Nuclear projects have a time horizon that is often too long for commercial financiers, like railways and bridges. In addition, the long-time horizon entails a risk of unforeseen disruptive technologies or political risks that m</w:t>
            </w:r>
            <w:r>
              <w:t>ay be difficult to bear for commercial financiers.</w:t>
            </w:r>
          </w:p>
          <w:p w14:paraId="76EDD7B5" w14:textId="77777777" w:rsidR="00072784" w:rsidRDefault="00243E5E">
            <w:pPr>
              <w:pStyle w:val="Text2"/>
              <w:ind w:left="0"/>
            </w:pPr>
            <w:r>
              <w:t>Moreover, waste management and reprocessing facilities need to be designed to have a very long lifetime, over a hundred years, which is a time scale considerably longer than that of the usual investment cycles of private companies: it can be an obstacle to investment for some projects</w:t>
            </w:r>
          </w:p>
          <w:p w14:paraId="76EDD7B6" w14:textId="77777777" w:rsidR="00072784" w:rsidRDefault="00243E5E">
            <w:pPr>
              <w:pStyle w:val="Text2"/>
              <w:ind w:left="0"/>
            </w:pPr>
            <w:r>
              <w:t xml:space="preserve">Both those technological and financial risks are a source of uncertainty for investors and would therefore have a negative impact on investments into such projects. These would therefore benefit from public support, which would help mobilising the necessary funds as well as reassuring private investors.  </w:t>
            </w:r>
          </w:p>
          <w:p w14:paraId="76EDD7B7" w14:textId="77777777" w:rsidR="00072784" w:rsidRDefault="00243E5E">
            <w:pPr>
              <w:pStyle w:val="Text2"/>
              <w:numPr>
                <w:ilvl w:val="0"/>
                <w:numId w:val="49"/>
              </w:numPr>
              <w:rPr>
                <w:b/>
                <w:bCs/>
              </w:rPr>
            </w:pPr>
            <w:r>
              <w:rPr>
                <w:b/>
                <w:bCs/>
              </w:rPr>
              <w:t>Positive externalities and reduction of negative externalities</w:t>
            </w:r>
          </w:p>
          <w:p w14:paraId="76EDD7B8" w14:textId="77777777" w:rsidR="00072784" w:rsidRDefault="00243E5E">
            <w:pPr>
              <w:pStyle w:val="Text2"/>
              <w:ind w:left="0"/>
            </w:pPr>
            <w:r>
              <w:t>In general, the positive externalities that nuclear brings to society are inadequately valued by private investors. These include: technological innovation, maintaining and creating jobs and skills specific to the nuclear industry; strengthening energy independence and decarbonising energy production.</w:t>
            </w:r>
          </w:p>
          <w:p w14:paraId="76EDD7B9" w14:textId="77777777" w:rsidR="00072784" w:rsidRDefault="00243E5E">
            <w:pPr>
              <w:pStyle w:val="Text2"/>
              <w:ind w:left="0"/>
            </w:pPr>
            <w:r>
              <w:t xml:space="preserve">More specifically, developing the EU’s industrial capacities in the field of uranium processing and associated fuel services will ultimately contribute to helping it diversify its nuclear fuel supply sources and enhance its strategic autonomy. However, this is not directly reflected in itself by economic returns.  </w:t>
            </w:r>
          </w:p>
          <w:p w14:paraId="76EDD7BA" w14:textId="77777777" w:rsidR="00072784" w:rsidRDefault="00243E5E">
            <w:pPr>
              <w:pStyle w:val="Text2"/>
              <w:ind w:left="0"/>
            </w:pPr>
            <w:r>
              <w:t>In this context, an IPCEI could help in providing political, regulatory, and economic incentives to investors, in order to support investments into the nuclear fuel cycle industry’s projects.</w:t>
            </w:r>
          </w:p>
          <w:p w14:paraId="76EDD7BB" w14:textId="77777777" w:rsidR="00072784" w:rsidRDefault="00243E5E">
            <w:pPr>
              <w:pStyle w:val="Text2"/>
              <w:numPr>
                <w:ilvl w:val="0"/>
                <w:numId w:val="49"/>
              </w:numPr>
              <w:rPr>
                <w:b/>
                <w:bCs/>
              </w:rPr>
            </w:pPr>
            <w:r>
              <w:rPr>
                <w:b/>
                <w:bCs/>
              </w:rPr>
              <w:t>Coordination issues</w:t>
            </w:r>
          </w:p>
          <w:p w14:paraId="76EDD7BC" w14:textId="77777777" w:rsidR="00072784" w:rsidRDefault="00243E5E">
            <w:pPr>
              <w:pStyle w:val="Text2"/>
              <w:ind w:left="0"/>
            </w:pPr>
            <w:r>
              <w:t>Nuclear fuel production is fundamentally dependent on the number of nuclear power plants, and vice versa. If the construction of new nuclear power plant is struggling because of its own market failures, this struggle is compounded by an insufficient fuel supply. Meanwhile, fuel producers are unlikely to invest in innovative projects as long as they have no new demand. In their risk analysis, investors will take into account the possibility of a structural change in political direction regarding nuclear ener</w:t>
            </w:r>
            <w:r>
              <w:t xml:space="preserve">gy. This risk cannot be neglected on such a long-time scale as that of nuclear projects. </w:t>
            </w:r>
          </w:p>
          <w:p w14:paraId="76EDD7BD" w14:textId="77777777" w:rsidR="00072784" w:rsidRDefault="00243E5E">
            <w:pPr>
              <w:pStyle w:val="Text2"/>
              <w:ind w:left="0"/>
            </w:pPr>
            <w:r>
              <w:lastRenderedPageBreak/>
              <w:t xml:space="preserve">Furthermore, there are issues of coordination with the fuel cycle supply chain, especially for AMRs, as new technologies’ development is closely tied to advancements in the fuel cycle segment. A long-term access to a safe and efficient fuel, which is an essential requirement for AMR deployment, is currently not satisfied. As a result, AMR investments remain constrained until the upstream segment can supply suitable fuel and builds a reliable supply chain. Conversely, the upstream segment is waiting for the </w:t>
            </w:r>
            <w:r>
              <w:t xml:space="preserve">AMR deployment to justify its own investment. </w:t>
            </w:r>
          </w:p>
          <w:p w14:paraId="76EDD7BE" w14:textId="77777777" w:rsidR="00072784" w:rsidRDefault="00243E5E">
            <w:pPr>
              <w:pStyle w:val="Text2"/>
              <w:ind w:left="0"/>
            </w:pPr>
            <w:r>
              <w:t>Furthermore, the needs for Research &amp; Development for the backend of the cycle (fuel waste reprocessing or deposits) are still strong as many options remain investigated.</w:t>
            </w:r>
          </w:p>
          <w:p w14:paraId="76EDD7BF" w14:textId="77777777" w:rsidR="00072784" w:rsidRDefault="00243E5E">
            <w:pPr>
              <w:pStyle w:val="Nadpis2"/>
            </w:pPr>
            <w:r>
              <w:t xml:space="preserve">Is there an existing EU value chain in the area? Is there a pipeline of private projects in the area that needs de-risking/ financing? On which basis can individual projects be integrated in a common structure/roadmap or programme aiming at a coherent, systemic approach?  </w:t>
            </w:r>
          </w:p>
          <w:p w14:paraId="76EDD7C0" w14:textId="77777777" w:rsidR="00072784" w:rsidRDefault="00243E5E">
            <w:pPr>
              <w:pStyle w:val="Text2"/>
              <w:ind w:left="0"/>
            </w:pPr>
            <w:r>
              <w:t xml:space="preserve">The EU already possesses an experienced, globally-recognised nuclear industrial ecosystem, spread across its Member States, including in the up- and downstream of the nuclear value chain, and ready to contribute to a Nuclear IPCEI. They are often involved in IAEA Coordinated Research Projects. </w:t>
            </w:r>
          </w:p>
          <w:p w14:paraId="76EDD7C1" w14:textId="77777777" w:rsidR="00072784" w:rsidRDefault="00243E5E">
            <w:pPr>
              <w:pStyle w:val="Text2"/>
              <w:ind w:left="0"/>
            </w:pPr>
            <w:r>
              <w:t xml:space="preserve">As part of a consultation process involving national nuclear industries and led by those Member States interested in a potential Nuclear IPCEI, a number of projects have been identified as interesting, particularly on uranium processing and associated fuel services, fuel reprocessing, waste management and decommissioning, dismantling and geological disposal infrastructures. </w:t>
            </w:r>
          </w:p>
          <w:p w14:paraId="76EDD7C2" w14:textId="77777777" w:rsidR="00072784" w:rsidRDefault="00243E5E">
            <w:pPr>
              <w:pStyle w:val="Text2"/>
              <w:ind w:left="0"/>
            </w:pPr>
            <w:r>
              <w:t xml:space="preserve">An EU-level systemic approach to financing these projects, such as an IPCEI, would help to ensure synergies and contribute to the emergence and strengthening of a domestic, European nuclear fuel cycle industrial ecosystem. </w:t>
            </w:r>
          </w:p>
          <w:p w14:paraId="76EDD7C3" w14:textId="77777777" w:rsidR="00072784" w:rsidRDefault="00243E5E">
            <w:pPr>
              <w:pStyle w:val="Nadpis2"/>
            </w:pPr>
            <w:r>
              <w:t>How would the IPCEI help to leverage or trigger more private investments or financing from the market in the technology area concerned?</w:t>
            </w:r>
          </w:p>
          <w:p w14:paraId="76EDD7C4" w14:textId="77777777" w:rsidR="00072784" w:rsidRDefault="00243E5E">
            <w:pPr>
              <w:pStyle w:val="Text2"/>
              <w:ind w:left="0"/>
            </w:pPr>
            <w:r>
              <w:t xml:space="preserve">The IPCEI would enable the necessary state support and coordination for long term projects such as nuclear waste management, especially geological disposal. It would also give credibility to the technological solutions that have been considered relevant within the IPCEI, thus sending a confidence signal for private investors, with an eye to comply with the “polluter pays” principle.  </w:t>
            </w:r>
          </w:p>
          <w:p w14:paraId="76EDD7C5" w14:textId="77777777" w:rsidR="00072784" w:rsidRDefault="00243E5E">
            <w:pPr>
              <w:pStyle w:val="Text2"/>
              <w:ind w:left="0"/>
            </w:pPr>
            <w:r>
              <w:t>It would also be the means of coordinating demand and supply of nuclear fuel by supporting simultaneously all the segments of the value chain. Such coordination will help nuclear projects to find clients or suppliers, and therefore strengthen their case before private investors.</w:t>
            </w:r>
          </w:p>
        </w:tc>
      </w:tr>
      <w:tr w:rsidR="00072784" w14:paraId="76EDD7C8" w14:textId="77777777">
        <w:tc>
          <w:tcPr>
            <w:tcW w:w="8614" w:type="dxa"/>
            <w:tcBorders>
              <w:top w:val="single" w:sz="4" w:space="0" w:color="000000"/>
              <w:bottom w:val="single" w:sz="4" w:space="0" w:color="000000"/>
            </w:tcBorders>
            <w:tcMar>
              <w:top w:w="0" w:type="dxa"/>
              <w:left w:w="108" w:type="dxa"/>
              <w:bottom w:w="0" w:type="dxa"/>
              <w:right w:w="108" w:type="dxa"/>
            </w:tcMar>
          </w:tcPr>
          <w:p w14:paraId="76EDD7C7" w14:textId="77777777" w:rsidR="00072784" w:rsidRDefault="00072784">
            <w:pPr>
              <w:pStyle w:val="Standard"/>
              <w:rPr>
                <w:i/>
                <w:iCs/>
              </w:rPr>
            </w:pPr>
          </w:p>
        </w:tc>
      </w:tr>
      <w:tr w:rsidR="00072784" w14:paraId="76EDD7CA" w14:textId="77777777">
        <w:tc>
          <w:tcPr>
            <w:tcW w:w="861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tcPr>
          <w:p w14:paraId="76EDD7C9" w14:textId="77777777" w:rsidR="00072784" w:rsidRDefault="00243E5E">
            <w:pPr>
              <w:pStyle w:val="Nadpis1"/>
            </w:pPr>
            <w:r>
              <w:lastRenderedPageBreak/>
              <w:t>IPCEI value-added</w:t>
            </w:r>
          </w:p>
        </w:tc>
      </w:tr>
      <w:tr w:rsidR="00072784" w14:paraId="76EDD7DC" w14:textId="77777777">
        <w:tc>
          <w:tcPr>
            <w:tcW w:w="8614"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14:paraId="76EDD7CB" w14:textId="77777777" w:rsidR="00072784" w:rsidRDefault="00243E5E">
            <w:pPr>
              <w:pStyle w:val="Standard"/>
            </w:pPr>
            <w:r>
              <w:rPr>
                <w:i/>
                <w:iCs/>
              </w:rPr>
              <w:t>The objective of this section is to assess whether an IPCEI would be an efficient tool to intervene in the given area.</w:t>
            </w:r>
          </w:p>
          <w:p w14:paraId="76EDD7CC" w14:textId="77777777" w:rsidR="00072784" w:rsidRDefault="00243E5E">
            <w:pPr>
              <w:pStyle w:val="Nadpis2"/>
            </w:pPr>
            <w:r>
              <w:t>Can the area be entirely supported by other EU and/or national policy interventions?</w:t>
            </w:r>
          </w:p>
          <w:p w14:paraId="76EDD7CD" w14:textId="77777777" w:rsidR="00072784" w:rsidRDefault="00243E5E">
            <w:pPr>
              <w:pStyle w:val="Text2"/>
              <w:ind w:left="0"/>
            </w:pPr>
            <w:r>
              <w:t xml:space="preserve">Nuclear energy projects are excluded from a number of EU-level, TFEU-based funds and financing schemes, including </w:t>
            </w:r>
            <w:proofErr w:type="spellStart"/>
            <w:r>
              <w:t>InvestEU</w:t>
            </w:r>
            <w:proofErr w:type="spellEnd"/>
            <w:r>
              <w:t xml:space="preserve">. Meanwhile, currently available Euratom funds and financing schemes are mostly able to support RD&amp;I projects. At the national level, the amount of funding needed to support the projects identified go beyond the level of aid authorised under EU State aid exemption rules. As demonstrated in section 5.2 below, the current applicable State aid framework constrains investment and utilisation opportunities for both Member states and companies. In this context, an IPCEI could help to ensure and boost investments </w:t>
            </w:r>
            <w:r>
              <w:t xml:space="preserve">in this area. </w:t>
            </w:r>
          </w:p>
          <w:p w14:paraId="76EDD7CE" w14:textId="77777777" w:rsidR="00072784" w:rsidRDefault="00243E5E">
            <w:pPr>
              <w:pStyle w:val="Text2"/>
              <w:ind w:left="0"/>
            </w:pPr>
            <w:r>
              <w:t>From an industrial point of view, the European SMR Industrial Alliance</w:t>
            </w:r>
            <w:r>
              <w:rPr>
                <w:rStyle w:val="Odkaznapoznmkupodiarou"/>
              </w:rPr>
              <w:footnoteReference w:id="4"/>
            </w:r>
            <w:r>
              <w:t xml:space="preserve"> was launched in February 2024 to support the development and deployment of SMRs and AMRs. It will contribute in particular to structure a robust, industrialised nuclear supply chain and develop cutting-edge technological solutions that meet Europe’s decarbonisation needs. The IPCEI tool could complement this initiative by providing the funding coordination needed. </w:t>
            </w:r>
          </w:p>
          <w:p w14:paraId="76EDD7CF" w14:textId="77777777" w:rsidR="00072784" w:rsidRDefault="00243E5E">
            <w:pPr>
              <w:pStyle w:val="Nadpis2"/>
            </w:pPr>
            <w:r>
              <w:t>Can the area be supported by alternative funding tools, such as Horizon, DEP, CEF or other appropriate State aid instruments, such as CEEAG, RDIF, GBER?</w:t>
            </w:r>
          </w:p>
          <w:p w14:paraId="76EDD7D0" w14:textId="77777777" w:rsidR="00072784" w:rsidRDefault="00243E5E">
            <w:pPr>
              <w:pStyle w:val="Text2"/>
              <w:ind w:left="0"/>
            </w:pPr>
            <w:r>
              <w:rPr>
                <w:b/>
                <w:bCs/>
              </w:rPr>
              <w:t>At the EU level, nuclear energy projects, including up- and downstream of the value chain, are</w:t>
            </w:r>
            <w:r>
              <w:t xml:space="preserve"> </w:t>
            </w:r>
            <w:r>
              <w:rPr>
                <w:b/>
                <w:bCs/>
              </w:rPr>
              <w:t>excluded from a number of EU-level funds</w:t>
            </w:r>
            <w:r>
              <w:t xml:space="preserve">: (i) from most TFEU-based funds and financing schemes, including from </w:t>
            </w:r>
            <w:proofErr w:type="spellStart"/>
            <w:r>
              <w:t>InvestEU</w:t>
            </w:r>
            <w:proofErr w:type="spellEnd"/>
            <w:r>
              <w:t xml:space="preserve"> and Cohesion funds; (ii) while currently available Euratom funds and financing schemes are mostly able to support RD&amp;I projects. </w:t>
            </w:r>
          </w:p>
          <w:p w14:paraId="76EDD7D1" w14:textId="77777777" w:rsidR="00072784" w:rsidRDefault="00243E5E">
            <w:pPr>
              <w:pStyle w:val="Text2"/>
              <w:ind w:left="0"/>
            </w:pPr>
            <w:r>
              <w:t xml:space="preserve">Some nuclear projects are explicitly excluded from the scope of </w:t>
            </w:r>
            <w:r>
              <w:rPr>
                <w:b/>
                <w:bCs/>
              </w:rPr>
              <w:t xml:space="preserve">many of the EU funding tools as the </w:t>
            </w:r>
            <w:proofErr w:type="spellStart"/>
            <w:r>
              <w:rPr>
                <w:b/>
                <w:bCs/>
              </w:rPr>
              <w:t>InvestEU</w:t>
            </w:r>
            <w:proofErr w:type="spellEnd"/>
            <w:r>
              <w:rPr>
                <w:b/>
                <w:bCs/>
              </w:rPr>
              <w:t xml:space="preserve"> instrument</w:t>
            </w:r>
            <w:r>
              <w:rPr>
                <w:rStyle w:val="Odkaznapoznmkupodiarou"/>
                <w:b/>
                <w:bCs/>
              </w:rPr>
              <w:footnoteReference w:id="5"/>
            </w:r>
            <w:r>
              <w:rPr>
                <w:b/>
                <w:bCs/>
              </w:rPr>
              <w:t>, the European Regional Development Fund (ERDF)</w:t>
            </w:r>
            <w:r>
              <w:rPr>
                <w:rStyle w:val="Odkaznapoznmkupodiarou"/>
                <w:b/>
                <w:bCs/>
              </w:rPr>
              <w:footnoteReference w:id="6"/>
            </w:r>
            <w:r>
              <w:rPr>
                <w:b/>
                <w:bCs/>
              </w:rPr>
              <w:t xml:space="preserve"> and the Just Transition Fund</w:t>
            </w:r>
            <w:r>
              <w:rPr>
                <w:rStyle w:val="Odkaznapoznmkupodiarou"/>
                <w:b/>
                <w:bCs/>
              </w:rPr>
              <w:footnoteReference w:id="7"/>
            </w:r>
            <w:r>
              <w:rPr>
                <w:b/>
                <w:bCs/>
              </w:rPr>
              <w:t xml:space="preserve">. </w:t>
            </w:r>
            <w:r>
              <w:t xml:space="preserve">In addition, while the Innovation Fund and Connecting Europe Facility (CEF)’s scopes do not exclude nuclear power projects, none of their call rounds have ever aimed at supporting nuclear-related technologies. </w:t>
            </w:r>
          </w:p>
          <w:p w14:paraId="76EDD7D2" w14:textId="77777777" w:rsidR="00072784" w:rsidRDefault="00243E5E">
            <w:pPr>
              <w:pStyle w:val="Text2"/>
              <w:ind w:left="0"/>
              <w:rPr>
                <w:b/>
                <w:bCs/>
              </w:rPr>
            </w:pPr>
            <w:r>
              <w:rPr>
                <w:b/>
                <w:bCs/>
              </w:rPr>
              <w:t>Furthermore, at the national level, the amount of funding needed to support the projects identified go beyond the level of aid authorised under EU State aid exemption rules.</w:t>
            </w:r>
          </w:p>
          <w:p w14:paraId="76EDD7D3" w14:textId="77777777" w:rsidR="00072784" w:rsidRDefault="00243E5E">
            <w:pPr>
              <w:pStyle w:val="Text2"/>
              <w:ind w:left="0"/>
            </w:pPr>
            <w:r>
              <w:lastRenderedPageBreak/>
              <w:t>Both the General Block Exemption Regulation (GBER)</w:t>
            </w:r>
            <w:r>
              <w:rPr>
                <w:rStyle w:val="Odkaznapoznmkupodiarou"/>
              </w:rPr>
              <w:footnoteReference w:id="8"/>
            </w:r>
            <w:r>
              <w:t xml:space="preserve"> and the RD&amp;I Framework</w:t>
            </w:r>
            <w:r>
              <w:rPr>
                <w:rStyle w:val="Odkaznapoznmkupodiarou"/>
              </w:rPr>
              <w:footnoteReference w:id="9"/>
            </w:r>
            <w:r>
              <w:t xml:space="preserve"> can finance R&amp;D projects in the nuclear sector</w:t>
            </w:r>
            <w:r>
              <w:rPr>
                <w:rStyle w:val="Odkaznapoznmkupodiarou"/>
              </w:rPr>
              <w:footnoteReference w:id="10"/>
            </w:r>
            <w:r>
              <w:t>, these legal bases do not allow for the support of the development of the EU’s domestic industrial capacities in uranium processing and associated fuel services, waste management and decommissioning.</w:t>
            </w:r>
          </w:p>
          <w:p w14:paraId="76EDD7D4" w14:textId="77777777" w:rsidR="00072784" w:rsidRDefault="00243E5E">
            <w:pPr>
              <w:pStyle w:val="Text2"/>
              <w:ind w:left="0"/>
            </w:pPr>
            <w:r>
              <w:t>As regards other State aid legal bases, the nuclear sector is partially excluded from the Guidelines on State aid for climate, environmental protection and energy for 2022 (CEEAG)</w:t>
            </w:r>
            <w:r>
              <w:rPr>
                <w:rStyle w:val="Odkaznapoznmkupodiarou"/>
              </w:rPr>
              <w:footnoteReference w:id="11"/>
            </w:r>
            <w:r>
              <w:t xml:space="preserve"> and is not listed among the sectors set out in the temporary crisis and transition framework (TCTF)</w:t>
            </w:r>
            <w:r>
              <w:rPr>
                <w:rStyle w:val="Odkaznapoznmkupodiarou"/>
              </w:rPr>
              <w:footnoteReference w:id="12"/>
            </w:r>
            <w:r>
              <w:t xml:space="preserve">. </w:t>
            </w:r>
          </w:p>
          <w:p w14:paraId="76EDD7D5" w14:textId="77777777" w:rsidR="00072784" w:rsidRDefault="00243E5E">
            <w:pPr>
              <w:pStyle w:val="Text2"/>
              <w:ind w:left="0"/>
            </w:pPr>
            <w:r>
              <w:t>In this context, a Nuclear IPCEI, including in the area of uranium processing and associated fuel services, waste management and decommissioning, could contribute to bridging that gap.</w:t>
            </w:r>
          </w:p>
          <w:p w14:paraId="76EDD7D6" w14:textId="77777777" w:rsidR="00072784" w:rsidRDefault="00243E5E">
            <w:pPr>
              <w:pStyle w:val="Nadpis2"/>
            </w:pPr>
            <w:r>
              <w:t>Would an existing industrial alliance or the creation of an industrial alliance facilitate an EU ecosystem in the relevant area (e.g.: market creation by regulatory requirements)?</w:t>
            </w:r>
          </w:p>
          <w:p w14:paraId="76EDD7D7" w14:textId="77777777" w:rsidR="00072784" w:rsidRDefault="00243E5E">
            <w:pPr>
              <w:pStyle w:val="Text2"/>
              <w:ind w:left="0"/>
            </w:pPr>
            <w:r>
              <w:t xml:space="preserve">An </w:t>
            </w:r>
            <w:r>
              <w:rPr>
                <w:b/>
                <w:bCs/>
              </w:rPr>
              <w:t>EU Industrial Alliance for Small Modular Reactors</w:t>
            </w:r>
            <w:r>
              <w:t xml:space="preserve"> was officially launched in February 2024 to support the development of SMRs in the EU, as well as to foster the emergence of an integrated domestic EU industry. An IPCEI in nuclear energy, including uranium processing and associated fuel services, waste management and decommissioning, and this Alliance for SMRs, are likely to mutually benefit from each other, in their respective efforts to support the development and deployment of nuclear in the EU.</w:t>
            </w:r>
          </w:p>
          <w:p w14:paraId="76EDD7D8" w14:textId="77777777" w:rsidR="00072784" w:rsidRDefault="00243E5E">
            <w:pPr>
              <w:pStyle w:val="Nadpis2"/>
            </w:pPr>
            <w:r>
              <w:t>What would be the specific benefits of the IPCEI tool in the given area?</w:t>
            </w:r>
          </w:p>
          <w:p w14:paraId="76EDD7D9" w14:textId="77777777" w:rsidR="00072784" w:rsidRDefault="00243E5E">
            <w:pPr>
              <w:pStyle w:val="Text2"/>
              <w:ind w:left="0"/>
            </w:pPr>
            <w:r>
              <w:t>One of the major benefits of the IPCEI tool is to enhance and optimise intra-European strong collaborations. These will be essential to support the development of nuclear energy in the EU and contribute in turn to its decarbonisation, energy security, and strategic autonomy. The IPCEI tool would enable participating Member States to provide significant support to the nuclear fuel cycle industry, up- and downstream of the value chain, in order to conduct structural projects. It will also send a positive sign</w:t>
            </w:r>
            <w:r>
              <w:t xml:space="preserve">al to private investors with regards to investments into nuclear energy projects. Ultimately, it will ensure the coherence and consistence of all of these investments across the EU, and support the emergence of an integrated European industrial ecosystem. </w:t>
            </w:r>
          </w:p>
          <w:p w14:paraId="76EDD7DA" w14:textId="77777777" w:rsidR="00072784" w:rsidRDefault="00243E5E">
            <w:pPr>
              <w:pStyle w:val="Nadpis2"/>
            </w:pPr>
            <w:r>
              <w:lastRenderedPageBreak/>
              <w:t>How will you ensure SME participation in the IPCEI ecosystem?</w:t>
            </w:r>
          </w:p>
          <w:p w14:paraId="76EDD7DB" w14:textId="77777777" w:rsidR="00072784" w:rsidRDefault="00243E5E">
            <w:pPr>
              <w:pStyle w:val="Text2"/>
              <w:ind w:left="0"/>
            </w:pPr>
            <w:r>
              <w:t xml:space="preserve">In line with past IPCEIs, Member States will ensure SME participation at the stage of the selection of national projects and include all types of projects, bearing in mind that smaller projects can still be part of the IPCEI ecosystem by becoming associated or indirect partners, as defined by the </w:t>
            </w:r>
            <w:r>
              <w:rPr>
                <w:rFonts w:cs="Calibri"/>
                <w:bCs/>
                <w:szCs w:val="24"/>
              </w:rPr>
              <w:t>Recommendation of the Joint European Forum for Important Projects of Common European Interest on the roles of associated and indirect partners in an IPCEI ecosystem</w:t>
            </w:r>
            <w:r>
              <w:rPr>
                <w:rStyle w:val="Odkaznapoznmkupodiarou"/>
                <w:rFonts w:cs="Calibri"/>
                <w:bCs/>
                <w:szCs w:val="24"/>
              </w:rPr>
              <w:footnoteReference w:id="13"/>
            </w:r>
            <w:r>
              <w:t>.</w:t>
            </w:r>
          </w:p>
        </w:tc>
      </w:tr>
      <w:tr w:rsidR="00072784" w14:paraId="76EDD7E8" w14:textId="77777777">
        <w:tc>
          <w:tcPr>
            <w:tcW w:w="8614" w:type="dxa"/>
            <w:tcBorders>
              <w:top w:val="single" w:sz="4" w:space="0" w:color="000000"/>
              <w:bottom w:val="single" w:sz="4" w:space="0" w:color="000000"/>
            </w:tcBorders>
            <w:tcMar>
              <w:top w:w="0" w:type="dxa"/>
              <w:left w:w="108" w:type="dxa"/>
              <w:bottom w:w="0" w:type="dxa"/>
              <w:right w:w="108" w:type="dxa"/>
            </w:tcMar>
          </w:tcPr>
          <w:tbl>
            <w:tblPr>
              <w:tblpPr w:leftFromText="141" w:rightFromText="141" w:vertAnchor="text" w:horzAnchor="margin" w:tblpY="-96"/>
              <w:tblOverlap w:val="never"/>
              <w:tblW w:w="8478" w:type="dxa"/>
              <w:tblLayout w:type="fixed"/>
              <w:tblCellMar>
                <w:left w:w="10" w:type="dxa"/>
                <w:right w:w="10" w:type="dxa"/>
              </w:tblCellMar>
              <w:tblLook w:val="0000" w:firstRow="0" w:lastRow="0" w:firstColumn="0" w:lastColumn="0" w:noHBand="0" w:noVBand="0"/>
            </w:tblPr>
            <w:tblGrid>
              <w:gridCol w:w="8478"/>
            </w:tblGrid>
            <w:tr w:rsidR="00072784" w14:paraId="76EDD7DE" w14:textId="77777777">
              <w:trPr>
                <w:trHeight w:val="745"/>
              </w:trPr>
              <w:tc>
                <w:tcPr>
                  <w:tcW w:w="8478" w:type="dxa"/>
                  <w:tcBorders>
                    <w:top w:val="single" w:sz="4" w:space="0" w:color="000000"/>
                    <w:left w:val="single" w:sz="6" w:space="0" w:color="000000"/>
                    <w:bottom w:val="single" w:sz="4" w:space="0" w:color="000000"/>
                    <w:right w:val="single" w:sz="6" w:space="0" w:color="000000"/>
                  </w:tcBorders>
                  <w:shd w:val="clear" w:color="auto" w:fill="EDEDED"/>
                  <w:tcMar>
                    <w:top w:w="0" w:type="dxa"/>
                    <w:left w:w="108" w:type="dxa"/>
                    <w:bottom w:w="0" w:type="dxa"/>
                    <w:right w:w="108" w:type="dxa"/>
                  </w:tcMar>
                </w:tcPr>
                <w:p w14:paraId="76EDD7DD" w14:textId="77777777" w:rsidR="00072784" w:rsidRDefault="00243E5E">
                  <w:pPr>
                    <w:pStyle w:val="Nadpis1"/>
                    <w:numPr>
                      <w:ilvl w:val="0"/>
                      <w:numId w:val="56"/>
                    </w:numPr>
                    <w:suppressAutoHyphens w:val="0"/>
                    <w:autoSpaceDN/>
                    <w:spacing w:after="240"/>
                    <w:textAlignment w:val="auto"/>
                  </w:pPr>
                  <w:r>
                    <w:lastRenderedPageBreak/>
                    <w:t>Next steps</w:t>
                  </w:r>
                </w:p>
              </w:tc>
            </w:tr>
            <w:tr w:rsidR="00072784" w14:paraId="76EDD7E4" w14:textId="77777777">
              <w:trPr>
                <w:trHeight w:val="9964"/>
              </w:trPr>
              <w:tc>
                <w:tcPr>
                  <w:tcW w:w="8478"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6EDD7DF" w14:textId="77777777" w:rsidR="00072784" w:rsidRDefault="00243E5E">
                  <w:pPr>
                    <w:pStyle w:val="Standard"/>
                  </w:pPr>
                  <w:r>
                    <w:rPr>
                      <w:i/>
                      <w:iCs/>
                    </w:rPr>
                    <w:t>The objective of this section is to assess what additional analyses are required for deciding whether to continue working on an IPCEI in the given area.</w:t>
                  </w:r>
                </w:p>
                <w:p w14:paraId="76EDD7E0" w14:textId="77777777" w:rsidR="00072784" w:rsidRDefault="00243E5E">
                  <w:pPr>
                    <w:pStyle w:val="Nadpis2"/>
                    <w:numPr>
                      <w:ilvl w:val="1"/>
                      <w:numId w:val="56"/>
                    </w:numPr>
                    <w:suppressAutoHyphens w:val="0"/>
                    <w:autoSpaceDN/>
                    <w:textAlignment w:val="auto"/>
                  </w:pPr>
                  <w:r>
                    <w:t>Based on the above, should the given area be further considered in-depth for a potential IPCEI?</w:t>
                  </w:r>
                </w:p>
                <w:p w14:paraId="76EDD7E1" w14:textId="77777777" w:rsidR="00072784" w:rsidRDefault="00243E5E">
                  <w:pPr>
                    <w:pStyle w:val="Text2"/>
                    <w:ind w:left="0"/>
                  </w:pPr>
                  <w:r>
                    <w:t>Based on the above, it is concluded that the area of Uranium Processing and associated fuel Services, Waste management and Decommissioning should be given further consideration together with the other pre-assessed areas. Indeed, including this area as part of an IPCEI would help boosting investments into the nuclear fuel cycle industry, which will be essential to support the EU’s efforts to maintain and develop nuclear energy’s contribution to its decarbonisation (“climate neutrality”) and energy security o</w:t>
                  </w:r>
                  <w:r>
                    <w:t xml:space="preserve">bjectives (“strategic autonomy”). The high level of investments required to support these projects, coupled with imperfect and asymmetric information issues, may discourage private investors, and in turn, justify public support. This area of uranium processing and associated fuel services, waste management and decommissioning </w:t>
                  </w:r>
                  <w:r>
                    <w:t>is</w:t>
                  </w:r>
                  <w:r>
                    <w:t xml:space="preserve"> intrinsically linked to the other pre-assessed areas for a potential IPCEI on Nuclear technologies, and synergies are therefore likely to occur. In particular, the same nuclear fuel ecosystem would be mobilised for projects under the SMRs/AMRs and medical applications areas. Ultimately, an IPCEI would support the coherence and consistence of all of these required investments into the nuclear fuel cycle industry across the EU, the emergence of an integrated domestic industrial ecosystem as well as innovativ</w:t>
                  </w:r>
                  <w:r>
                    <w:t xml:space="preserve">e EU-led RD&amp;I in waste management and fuel cycle technologies, and the diversification of sufficient supply sources at European level. </w:t>
                  </w:r>
                </w:p>
                <w:p w14:paraId="76EDD7E2" w14:textId="77777777" w:rsidR="00072784" w:rsidRDefault="00243E5E">
                  <w:pPr>
                    <w:pStyle w:val="Nadpis2"/>
                    <w:numPr>
                      <w:ilvl w:val="1"/>
                      <w:numId w:val="56"/>
                    </w:numPr>
                    <w:suppressAutoHyphens w:val="0"/>
                    <w:autoSpaceDN/>
                    <w:textAlignment w:val="auto"/>
                  </w:pPr>
                  <w:r>
                    <w:t>What additional analyses/information would be needed to refine the assessment?</w:t>
                  </w:r>
                </w:p>
                <w:p w14:paraId="76EDD7E3" w14:textId="77777777" w:rsidR="00072784" w:rsidRDefault="00243E5E">
                  <w:pPr>
                    <w:pStyle w:val="Text2"/>
                    <w:ind w:left="0"/>
                  </w:pPr>
                  <w:r>
                    <w:t xml:space="preserve">During the design phase, interested Member States should seek to confirm the availability of projects and their ability and willingness to provide those with financial support on their national budget within the common timeline that will be approved between Member States for this IPCEI on Innovative nuclear technologies. They should also confirm the eligibility of these projects given IPCEIs’ requirements in terms of intellectual and industrial property and cross-border collaborations, while complying with </w:t>
                  </w:r>
                  <w:r>
                    <w:t xml:space="preserve">the highest nuclear safety, security and safeguard standards, as well as with the “polluter-pays” principle. </w:t>
                  </w:r>
                </w:p>
              </w:tc>
            </w:tr>
          </w:tbl>
          <w:p w14:paraId="76EDD7E5" w14:textId="77777777" w:rsidR="00072784" w:rsidRDefault="00072784">
            <w:pPr>
              <w:pStyle w:val="Standard"/>
              <w:rPr>
                <w:i/>
                <w:iCs/>
              </w:rPr>
            </w:pPr>
          </w:p>
          <w:p w14:paraId="76EDD7E6" w14:textId="77777777" w:rsidR="00072784" w:rsidRDefault="00072784">
            <w:pPr>
              <w:pStyle w:val="Standard"/>
              <w:rPr>
                <w:i/>
                <w:iCs/>
              </w:rPr>
            </w:pPr>
          </w:p>
          <w:p w14:paraId="76EDD7E7" w14:textId="77777777" w:rsidR="00072784" w:rsidRDefault="00072784">
            <w:pPr>
              <w:pStyle w:val="Standard"/>
              <w:rPr>
                <w:i/>
                <w:iCs/>
              </w:rPr>
            </w:pPr>
          </w:p>
        </w:tc>
      </w:tr>
    </w:tbl>
    <w:p w14:paraId="76EDD7E9" w14:textId="77777777" w:rsidR="00072784" w:rsidRDefault="00243E5E">
      <w:pPr>
        <w:suppressAutoHyphens w:val="0"/>
      </w:pPr>
      <w:r>
        <w:rPr>
          <w:b/>
          <w:smallCaps/>
        </w:rPr>
        <w:br w:type="page"/>
      </w:r>
    </w:p>
    <w:p w14:paraId="76EDD7EA" w14:textId="77777777" w:rsidR="00072784" w:rsidRDefault="00243E5E">
      <w:pPr>
        <w:pStyle w:val="Nadpis1"/>
      </w:pPr>
      <w:r>
        <w:rPr>
          <w:lang w:val="en-IE"/>
        </w:rPr>
        <w:lastRenderedPageBreak/>
        <w:t>Annex: link with IPCEI Communication eligibility criteria</w:t>
      </w:r>
    </w:p>
    <w:p w14:paraId="76EDD7EB" w14:textId="77777777" w:rsidR="00072784" w:rsidRDefault="00072784">
      <w:pPr>
        <w:pStyle w:val="Text1"/>
        <w:rPr>
          <w:lang w:val="en-IE"/>
        </w:rPr>
      </w:pPr>
    </w:p>
    <w:tbl>
      <w:tblPr>
        <w:tblW w:w="8602" w:type="dxa"/>
        <w:tblLayout w:type="fixed"/>
        <w:tblCellMar>
          <w:left w:w="10" w:type="dxa"/>
          <w:right w:w="10" w:type="dxa"/>
        </w:tblCellMar>
        <w:tblLook w:val="0000" w:firstRow="0" w:lastRow="0" w:firstColumn="0" w:lastColumn="0" w:noHBand="0" w:noVBand="0"/>
      </w:tblPr>
      <w:tblGrid>
        <w:gridCol w:w="3961"/>
        <w:gridCol w:w="284"/>
        <w:gridCol w:w="4357"/>
      </w:tblGrid>
      <w:tr w:rsidR="00072784" w14:paraId="76EDD7EF" w14:textId="77777777">
        <w:tc>
          <w:tcPr>
            <w:tcW w:w="3961" w:type="dxa"/>
            <w:tcBorders>
              <w:bottom w:val="single" w:sz="4" w:space="0" w:color="000000"/>
            </w:tcBorders>
            <w:tcMar>
              <w:top w:w="0" w:type="dxa"/>
              <w:left w:w="108" w:type="dxa"/>
              <w:bottom w:w="0" w:type="dxa"/>
              <w:right w:w="108" w:type="dxa"/>
            </w:tcMar>
          </w:tcPr>
          <w:p w14:paraId="76EDD7EC" w14:textId="77777777" w:rsidR="00072784" w:rsidRDefault="00243E5E">
            <w:pPr>
              <w:pStyle w:val="Standard"/>
            </w:pPr>
            <w:r>
              <w:rPr>
                <w:b/>
                <w:bCs/>
              </w:rPr>
              <w:t>Eligibility Criteria for IPCEI</w:t>
            </w:r>
          </w:p>
        </w:tc>
        <w:tc>
          <w:tcPr>
            <w:tcW w:w="284" w:type="dxa"/>
            <w:tcBorders>
              <w:bottom w:val="single" w:sz="4" w:space="0" w:color="000000"/>
            </w:tcBorders>
            <w:tcMar>
              <w:top w:w="0" w:type="dxa"/>
              <w:left w:w="108" w:type="dxa"/>
              <w:bottom w:w="0" w:type="dxa"/>
              <w:right w:w="108" w:type="dxa"/>
            </w:tcMar>
          </w:tcPr>
          <w:p w14:paraId="76EDD7ED" w14:textId="77777777" w:rsidR="00072784" w:rsidRDefault="00072784">
            <w:pPr>
              <w:pStyle w:val="Standard"/>
              <w:rPr>
                <w:b/>
                <w:bCs/>
              </w:rPr>
            </w:pPr>
          </w:p>
        </w:tc>
        <w:tc>
          <w:tcPr>
            <w:tcW w:w="4357" w:type="dxa"/>
            <w:tcBorders>
              <w:bottom w:val="single" w:sz="4" w:space="0" w:color="000000"/>
            </w:tcBorders>
            <w:tcMar>
              <w:top w:w="0" w:type="dxa"/>
              <w:left w:w="108" w:type="dxa"/>
              <w:bottom w:w="0" w:type="dxa"/>
              <w:right w:w="108" w:type="dxa"/>
            </w:tcMar>
          </w:tcPr>
          <w:p w14:paraId="76EDD7EE" w14:textId="77777777" w:rsidR="00072784" w:rsidRDefault="00243E5E">
            <w:pPr>
              <w:pStyle w:val="Standard"/>
            </w:pPr>
            <w:r>
              <w:rPr>
                <w:b/>
                <w:bCs/>
              </w:rPr>
              <w:t>Assessment in fiche</w:t>
            </w:r>
          </w:p>
        </w:tc>
      </w:tr>
      <w:tr w:rsidR="00072784" w14:paraId="76EDD7F3" w14:textId="77777777">
        <w:tc>
          <w:tcPr>
            <w:tcW w:w="3961" w:type="dxa"/>
            <w:tcBorders>
              <w:top w:val="single" w:sz="4" w:space="0" w:color="000000"/>
            </w:tcBorders>
            <w:shd w:val="clear" w:color="auto" w:fill="EDEDED"/>
            <w:tcMar>
              <w:top w:w="0" w:type="dxa"/>
              <w:left w:w="108" w:type="dxa"/>
              <w:bottom w:w="0" w:type="dxa"/>
              <w:right w:w="108" w:type="dxa"/>
            </w:tcMar>
          </w:tcPr>
          <w:p w14:paraId="76EDD7F0" w14:textId="77777777" w:rsidR="00072784" w:rsidRDefault="00243E5E">
            <w:pPr>
              <w:pStyle w:val="Standard"/>
            </w:pPr>
            <w:r>
              <w:t>3.1. Definition</w:t>
            </w:r>
          </w:p>
        </w:tc>
        <w:tc>
          <w:tcPr>
            <w:tcW w:w="284" w:type="dxa"/>
            <w:tcBorders>
              <w:top w:val="single" w:sz="4" w:space="0" w:color="000000"/>
            </w:tcBorders>
            <w:shd w:val="clear" w:color="auto" w:fill="EDEDED"/>
            <w:tcMar>
              <w:top w:w="0" w:type="dxa"/>
              <w:left w:w="108" w:type="dxa"/>
              <w:bottom w:w="0" w:type="dxa"/>
              <w:right w:w="108" w:type="dxa"/>
            </w:tcMar>
          </w:tcPr>
          <w:p w14:paraId="76EDD7F1" w14:textId="77777777" w:rsidR="00072784" w:rsidRDefault="00072784">
            <w:pPr>
              <w:pStyle w:val="Standard"/>
            </w:pPr>
          </w:p>
        </w:tc>
        <w:tc>
          <w:tcPr>
            <w:tcW w:w="4357" w:type="dxa"/>
            <w:tcBorders>
              <w:top w:val="single" w:sz="4" w:space="0" w:color="000000"/>
            </w:tcBorders>
            <w:shd w:val="clear" w:color="auto" w:fill="EDEDED"/>
            <w:tcMar>
              <w:top w:w="0" w:type="dxa"/>
              <w:left w:w="108" w:type="dxa"/>
              <w:bottom w:w="0" w:type="dxa"/>
              <w:right w:w="108" w:type="dxa"/>
            </w:tcMar>
          </w:tcPr>
          <w:p w14:paraId="76EDD7F2" w14:textId="77777777" w:rsidR="00072784" w:rsidRDefault="00072784">
            <w:pPr>
              <w:pStyle w:val="Standard"/>
            </w:pPr>
          </w:p>
        </w:tc>
      </w:tr>
      <w:tr w:rsidR="00072784" w14:paraId="76EDD7F7" w14:textId="77777777">
        <w:tc>
          <w:tcPr>
            <w:tcW w:w="3961" w:type="dxa"/>
            <w:tcMar>
              <w:top w:w="0" w:type="dxa"/>
              <w:left w:w="108" w:type="dxa"/>
              <w:bottom w:w="0" w:type="dxa"/>
              <w:right w:w="108" w:type="dxa"/>
            </w:tcMar>
          </w:tcPr>
          <w:p w14:paraId="76EDD7F4" w14:textId="77777777" w:rsidR="00072784" w:rsidRDefault="00243E5E">
            <w:pPr>
              <w:pStyle w:val="Standard"/>
            </w:pPr>
            <w:r>
              <w:t>Integrated project (§13)</w:t>
            </w:r>
          </w:p>
        </w:tc>
        <w:tc>
          <w:tcPr>
            <w:tcW w:w="284" w:type="dxa"/>
            <w:tcMar>
              <w:top w:w="0" w:type="dxa"/>
              <w:left w:w="108" w:type="dxa"/>
              <w:bottom w:w="0" w:type="dxa"/>
              <w:right w:w="108" w:type="dxa"/>
            </w:tcMar>
          </w:tcPr>
          <w:p w14:paraId="76EDD7F5" w14:textId="77777777" w:rsidR="00072784" w:rsidRDefault="00072784">
            <w:pPr>
              <w:pStyle w:val="Standard"/>
            </w:pPr>
          </w:p>
        </w:tc>
        <w:tc>
          <w:tcPr>
            <w:tcW w:w="4357" w:type="dxa"/>
            <w:tcMar>
              <w:top w:w="0" w:type="dxa"/>
              <w:left w:w="108" w:type="dxa"/>
              <w:bottom w:w="0" w:type="dxa"/>
              <w:right w:w="108" w:type="dxa"/>
            </w:tcMar>
          </w:tcPr>
          <w:p w14:paraId="76EDD7F6" w14:textId="77777777" w:rsidR="00072784" w:rsidRDefault="00243E5E">
            <w:pPr>
              <w:pStyle w:val="Standard"/>
            </w:pPr>
            <w:r>
              <w:rPr>
                <w:i/>
                <w:iCs/>
              </w:rPr>
              <w:t xml:space="preserve">To be assessed later in design phase but some elements could be included in </w:t>
            </w:r>
            <w:r>
              <w:t xml:space="preserve">4. Market dimension </w:t>
            </w:r>
            <w:r>
              <w:rPr>
                <w:i/>
                <w:iCs/>
              </w:rPr>
              <w:t xml:space="preserve">section </w:t>
            </w:r>
            <w:r>
              <w:t>(question 4.1)</w:t>
            </w:r>
          </w:p>
        </w:tc>
      </w:tr>
      <w:tr w:rsidR="00072784" w14:paraId="76EDD7FB" w14:textId="77777777">
        <w:tc>
          <w:tcPr>
            <w:tcW w:w="3961" w:type="dxa"/>
            <w:shd w:val="clear" w:color="auto" w:fill="EDEDED"/>
            <w:tcMar>
              <w:top w:w="0" w:type="dxa"/>
              <w:left w:w="108" w:type="dxa"/>
              <w:bottom w:w="0" w:type="dxa"/>
              <w:right w:w="108" w:type="dxa"/>
            </w:tcMar>
          </w:tcPr>
          <w:p w14:paraId="76EDD7F8" w14:textId="77777777" w:rsidR="00072784" w:rsidRDefault="00243E5E">
            <w:pPr>
              <w:pStyle w:val="Standard"/>
            </w:pPr>
            <w:r>
              <w:t>3.2 Common European Interest</w:t>
            </w:r>
          </w:p>
        </w:tc>
        <w:tc>
          <w:tcPr>
            <w:tcW w:w="284" w:type="dxa"/>
            <w:shd w:val="clear" w:color="auto" w:fill="EDEDED"/>
            <w:tcMar>
              <w:top w:w="0" w:type="dxa"/>
              <w:left w:w="108" w:type="dxa"/>
              <w:bottom w:w="0" w:type="dxa"/>
              <w:right w:w="108" w:type="dxa"/>
            </w:tcMar>
          </w:tcPr>
          <w:p w14:paraId="76EDD7F9" w14:textId="77777777" w:rsidR="00072784" w:rsidRDefault="00072784">
            <w:pPr>
              <w:pStyle w:val="Standard"/>
            </w:pPr>
          </w:p>
        </w:tc>
        <w:tc>
          <w:tcPr>
            <w:tcW w:w="4357" w:type="dxa"/>
            <w:shd w:val="clear" w:color="auto" w:fill="EDEDED"/>
            <w:tcMar>
              <w:top w:w="0" w:type="dxa"/>
              <w:left w:w="108" w:type="dxa"/>
              <w:bottom w:w="0" w:type="dxa"/>
              <w:right w:w="108" w:type="dxa"/>
            </w:tcMar>
          </w:tcPr>
          <w:p w14:paraId="76EDD7FA" w14:textId="77777777" w:rsidR="00072784" w:rsidRDefault="00072784">
            <w:pPr>
              <w:pStyle w:val="Standard"/>
            </w:pPr>
          </w:p>
        </w:tc>
      </w:tr>
      <w:tr w:rsidR="00072784" w14:paraId="76EDD7FF" w14:textId="77777777">
        <w:tc>
          <w:tcPr>
            <w:tcW w:w="3961" w:type="dxa"/>
            <w:tcMar>
              <w:top w:w="0" w:type="dxa"/>
              <w:left w:w="108" w:type="dxa"/>
              <w:bottom w:w="0" w:type="dxa"/>
              <w:right w:w="108" w:type="dxa"/>
            </w:tcMar>
          </w:tcPr>
          <w:p w14:paraId="76EDD7FC" w14:textId="77777777" w:rsidR="00072784" w:rsidRDefault="00243E5E">
            <w:pPr>
              <w:pStyle w:val="Standard"/>
            </w:pPr>
            <w:r>
              <w:t>Contribution to EU objectives and strategies (§14)</w:t>
            </w:r>
          </w:p>
        </w:tc>
        <w:tc>
          <w:tcPr>
            <w:tcW w:w="284" w:type="dxa"/>
            <w:tcMar>
              <w:top w:w="0" w:type="dxa"/>
              <w:left w:w="108" w:type="dxa"/>
              <w:bottom w:w="0" w:type="dxa"/>
              <w:right w:w="108" w:type="dxa"/>
            </w:tcMar>
          </w:tcPr>
          <w:p w14:paraId="76EDD7FD" w14:textId="77777777" w:rsidR="00072784" w:rsidRDefault="00072784">
            <w:pPr>
              <w:pStyle w:val="Standard"/>
            </w:pPr>
          </w:p>
        </w:tc>
        <w:tc>
          <w:tcPr>
            <w:tcW w:w="4357" w:type="dxa"/>
            <w:tcMar>
              <w:top w:w="0" w:type="dxa"/>
              <w:left w:w="108" w:type="dxa"/>
              <w:bottom w:w="0" w:type="dxa"/>
              <w:right w:w="108" w:type="dxa"/>
            </w:tcMar>
          </w:tcPr>
          <w:p w14:paraId="76EDD7FE" w14:textId="77777777" w:rsidR="00072784" w:rsidRDefault="00243E5E">
            <w:pPr>
              <w:pStyle w:val="Standard"/>
            </w:pPr>
            <w:r>
              <w:t>Section 2. Political and industrial strategy objectives (question 2.2)</w:t>
            </w:r>
          </w:p>
        </w:tc>
      </w:tr>
      <w:tr w:rsidR="00072784" w14:paraId="76EDD803" w14:textId="77777777">
        <w:tc>
          <w:tcPr>
            <w:tcW w:w="3961" w:type="dxa"/>
            <w:tcMar>
              <w:top w:w="0" w:type="dxa"/>
              <w:left w:w="108" w:type="dxa"/>
              <w:bottom w:w="0" w:type="dxa"/>
              <w:right w:w="108" w:type="dxa"/>
            </w:tcMar>
          </w:tcPr>
          <w:p w14:paraId="76EDD800" w14:textId="77777777" w:rsidR="00072784" w:rsidRDefault="00243E5E">
            <w:pPr>
              <w:pStyle w:val="Standard"/>
            </w:pPr>
            <w:r>
              <w:t>Overcoming important systemic or market failures, or societal challenges (§15)</w:t>
            </w:r>
          </w:p>
        </w:tc>
        <w:tc>
          <w:tcPr>
            <w:tcW w:w="284" w:type="dxa"/>
            <w:tcMar>
              <w:top w:w="0" w:type="dxa"/>
              <w:left w:w="108" w:type="dxa"/>
              <w:bottom w:w="0" w:type="dxa"/>
              <w:right w:w="108" w:type="dxa"/>
            </w:tcMar>
          </w:tcPr>
          <w:p w14:paraId="76EDD801" w14:textId="77777777" w:rsidR="00072784" w:rsidRDefault="00072784">
            <w:pPr>
              <w:pStyle w:val="Standard"/>
            </w:pPr>
          </w:p>
        </w:tc>
        <w:tc>
          <w:tcPr>
            <w:tcW w:w="4357" w:type="dxa"/>
            <w:tcMar>
              <w:top w:w="0" w:type="dxa"/>
              <w:left w:w="108" w:type="dxa"/>
              <w:bottom w:w="0" w:type="dxa"/>
              <w:right w:w="108" w:type="dxa"/>
            </w:tcMar>
          </w:tcPr>
          <w:p w14:paraId="76EDD802" w14:textId="77777777" w:rsidR="00072784" w:rsidRDefault="00243E5E">
            <w:pPr>
              <w:pStyle w:val="Standard"/>
            </w:pPr>
            <w:r>
              <w:t>Section 2. Political and industrial policy objectives (question 4.1)</w:t>
            </w:r>
          </w:p>
        </w:tc>
      </w:tr>
      <w:tr w:rsidR="00072784" w14:paraId="76EDD807" w14:textId="77777777">
        <w:tc>
          <w:tcPr>
            <w:tcW w:w="3961" w:type="dxa"/>
            <w:tcMar>
              <w:top w:w="0" w:type="dxa"/>
              <w:left w:w="108" w:type="dxa"/>
              <w:bottom w:w="0" w:type="dxa"/>
              <w:right w:w="108" w:type="dxa"/>
            </w:tcMar>
          </w:tcPr>
          <w:p w14:paraId="76EDD804" w14:textId="77777777" w:rsidR="00072784" w:rsidRDefault="00243E5E">
            <w:pPr>
              <w:pStyle w:val="Standard"/>
            </w:pPr>
            <w:r>
              <w:t>Minimum 4 Member States (§16)</w:t>
            </w:r>
          </w:p>
        </w:tc>
        <w:tc>
          <w:tcPr>
            <w:tcW w:w="284" w:type="dxa"/>
            <w:tcMar>
              <w:top w:w="0" w:type="dxa"/>
              <w:left w:w="108" w:type="dxa"/>
              <w:bottom w:w="0" w:type="dxa"/>
              <w:right w:w="108" w:type="dxa"/>
            </w:tcMar>
          </w:tcPr>
          <w:p w14:paraId="76EDD805" w14:textId="77777777" w:rsidR="00072784" w:rsidRDefault="00072784">
            <w:pPr>
              <w:pStyle w:val="Standard"/>
            </w:pPr>
          </w:p>
        </w:tc>
        <w:tc>
          <w:tcPr>
            <w:tcW w:w="4357" w:type="dxa"/>
            <w:tcMar>
              <w:top w:w="0" w:type="dxa"/>
              <w:left w:w="108" w:type="dxa"/>
              <w:bottom w:w="0" w:type="dxa"/>
              <w:right w:w="108" w:type="dxa"/>
            </w:tcMar>
          </w:tcPr>
          <w:p w14:paraId="76EDD806" w14:textId="77777777" w:rsidR="00072784" w:rsidRDefault="00243E5E">
            <w:pPr>
              <w:pStyle w:val="Standard"/>
            </w:pPr>
            <w:r>
              <w:rPr>
                <w:i/>
                <w:iCs/>
              </w:rPr>
              <w:t xml:space="preserve">To be assessed later in design phase but some elements could be included in </w:t>
            </w:r>
            <w:r>
              <w:t xml:space="preserve">4. Market dimension </w:t>
            </w:r>
            <w:r>
              <w:rPr>
                <w:i/>
                <w:iCs/>
              </w:rPr>
              <w:t xml:space="preserve">section </w:t>
            </w:r>
            <w:r>
              <w:t>(question 4.1)</w:t>
            </w:r>
          </w:p>
        </w:tc>
      </w:tr>
      <w:tr w:rsidR="00072784" w14:paraId="76EDD80B" w14:textId="77777777">
        <w:tc>
          <w:tcPr>
            <w:tcW w:w="3961" w:type="dxa"/>
            <w:tcMar>
              <w:top w:w="0" w:type="dxa"/>
              <w:left w:w="108" w:type="dxa"/>
              <w:bottom w:w="0" w:type="dxa"/>
              <w:right w:w="108" w:type="dxa"/>
            </w:tcMar>
          </w:tcPr>
          <w:p w14:paraId="76EDD808" w14:textId="77777777" w:rsidR="00072784" w:rsidRDefault="00243E5E">
            <w:pPr>
              <w:pStyle w:val="Standard"/>
            </w:pPr>
            <w:r>
              <w:t>Spill-overs to economy and society (§18)</w:t>
            </w:r>
          </w:p>
        </w:tc>
        <w:tc>
          <w:tcPr>
            <w:tcW w:w="284" w:type="dxa"/>
            <w:tcMar>
              <w:top w:w="0" w:type="dxa"/>
              <w:left w:w="108" w:type="dxa"/>
              <w:bottom w:w="0" w:type="dxa"/>
              <w:right w:w="108" w:type="dxa"/>
            </w:tcMar>
          </w:tcPr>
          <w:p w14:paraId="76EDD809" w14:textId="77777777" w:rsidR="00072784" w:rsidRDefault="00072784">
            <w:pPr>
              <w:pStyle w:val="Standard"/>
            </w:pPr>
          </w:p>
        </w:tc>
        <w:tc>
          <w:tcPr>
            <w:tcW w:w="4357" w:type="dxa"/>
            <w:tcMar>
              <w:top w:w="0" w:type="dxa"/>
              <w:left w:w="108" w:type="dxa"/>
              <w:bottom w:w="0" w:type="dxa"/>
              <w:right w:w="108" w:type="dxa"/>
            </w:tcMar>
          </w:tcPr>
          <w:p w14:paraId="76EDD80A" w14:textId="77777777" w:rsidR="00072784" w:rsidRDefault="00243E5E">
            <w:pPr>
              <w:pStyle w:val="Standard"/>
            </w:pPr>
            <w:r>
              <w:t>Section 3. EU dimension (question 3.2)</w:t>
            </w:r>
          </w:p>
        </w:tc>
      </w:tr>
      <w:tr w:rsidR="00072784" w14:paraId="76EDD80F" w14:textId="77777777">
        <w:tc>
          <w:tcPr>
            <w:tcW w:w="3961" w:type="dxa"/>
            <w:tcMar>
              <w:top w:w="0" w:type="dxa"/>
              <w:left w:w="108" w:type="dxa"/>
              <w:bottom w:w="0" w:type="dxa"/>
              <w:right w:w="108" w:type="dxa"/>
            </w:tcMar>
          </w:tcPr>
          <w:p w14:paraId="76EDD80C" w14:textId="77777777" w:rsidR="00072784" w:rsidRDefault="00243E5E">
            <w:pPr>
              <w:pStyle w:val="Standard"/>
            </w:pPr>
            <w:r>
              <w:t>Co-financing by the beneficiaries (§19)</w:t>
            </w:r>
          </w:p>
        </w:tc>
        <w:tc>
          <w:tcPr>
            <w:tcW w:w="284" w:type="dxa"/>
            <w:tcMar>
              <w:top w:w="0" w:type="dxa"/>
              <w:left w:w="108" w:type="dxa"/>
              <w:bottom w:w="0" w:type="dxa"/>
              <w:right w:w="108" w:type="dxa"/>
            </w:tcMar>
          </w:tcPr>
          <w:p w14:paraId="76EDD80D" w14:textId="77777777" w:rsidR="00072784" w:rsidRDefault="00072784">
            <w:pPr>
              <w:pStyle w:val="Standard"/>
            </w:pPr>
          </w:p>
        </w:tc>
        <w:tc>
          <w:tcPr>
            <w:tcW w:w="4357" w:type="dxa"/>
            <w:tcMar>
              <w:top w:w="0" w:type="dxa"/>
              <w:left w:w="108" w:type="dxa"/>
              <w:bottom w:w="0" w:type="dxa"/>
              <w:right w:w="108" w:type="dxa"/>
            </w:tcMar>
          </w:tcPr>
          <w:p w14:paraId="76EDD80E" w14:textId="77777777" w:rsidR="00072784" w:rsidRDefault="00243E5E">
            <w:pPr>
              <w:pStyle w:val="Standard"/>
            </w:pPr>
            <w:r>
              <w:rPr>
                <w:i/>
                <w:iCs/>
              </w:rPr>
              <w:t xml:space="preserve">To be assessed later in design phase but some elements could be included in </w:t>
            </w:r>
            <w:r>
              <w:t xml:space="preserve">4. Market dimension </w:t>
            </w:r>
            <w:r>
              <w:rPr>
                <w:i/>
                <w:iCs/>
              </w:rPr>
              <w:t xml:space="preserve">section </w:t>
            </w:r>
            <w:r>
              <w:t>(question 4.1)</w:t>
            </w:r>
          </w:p>
        </w:tc>
      </w:tr>
      <w:tr w:rsidR="00072784" w14:paraId="76EDD813" w14:textId="77777777">
        <w:tc>
          <w:tcPr>
            <w:tcW w:w="3961" w:type="dxa"/>
            <w:tcMar>
              <w:top w:w="0" w:type="dxa"/>
              <w:left w:w="108" w:type="dxa"/>
              <w:bottom w:w="0" w:type="dxa"/>
              <w:right w:w="108" w:type="dxa"/>
            </w:tcMar>
          </w:tcPr>
          <w:p w14:paraId="76EDD810" w14:textId="77777777" w:rsidR="00072784" w:rsidRDefault="00243E5E">
            <w:pPr>
              <w:pStyle w:val="Standard"/>
            </w:pPr>
            <w:r>
              <w:t>Compatibility with DNSH (Is there an EU value chain to mobilise? (§20</w:t>
            </w:r>
            <w:r>
              <w:rPr>
                <w:i/>
                <w:iCs/>
              </w:rPr>
              <w:t>)</w:t>
            </w:r>
          </w:p>
        </w:tc>
        <w:tc>
          <w:tcPr>
            <w:tcW w:w="284" w:type="dxa"/>
            <w:tcMar>
              <w:top w:w="0" w:type="dxa"/>
              <w:left w:w="108" w:type="dxa"/>
              <w:bottom w:w="0" w:type="dxa"/>
              <w:right w:w="108" w:type="dxa"/>
            </w:tcMar>
          </w:tcPr>
          <w:p w14:paraId="76EDD811" w14:textId="77777777" w:rsidR="00072784" w:rsidRDefault="00072784">
            <w:pPr>
              <w:pStyle w:val="Standard"/>
              <w:rPr>
                <w:i/>
                <w:iCs/>
              </w:rPr>
            </w:pPr>
          </w:p>
        </w:tc>
        <w:tc>
          <w:tcPr>
            <w:tcW w:w="4357" w:type="dxa"/>
            <w:tcMar>
              <w:top w:w="0" w:type="dxa"/>
              <w:left w:w="108" w:type="dxa"/>
              <w:bottom w:w="0" w:type="dxa"/>
              <w:right w:w="108" w:type="dxa"/>
            </w:tcMar>
          </w:tcPr>
          <w:p w14:paraId="76EDD812" w14:textId="77777777" w:rsidR="00072784" w:rsidRDefault="00243E5E">
            <w:pPr>
              <w:pStyle w:val="Standard"/>
            </w:pPr>
            <w:r>
              <w:rPr>
                <w:i/>
                <w:iCs/>
              </w:rPr>
              <w:t>To be assessed in design phase</w:t>
            </w:r>
          </w:p>
        </w:tc>
      </w:tr>
      <w:tr w:rsidR="00072784" w14:paraId="76EDD817" w14:textId="77777777">
        <w:tc>
          <w:tcPr>
            <w:tcW w:w="3961" w:type="dxa"/>
            <w:tcMar>
              <w:top w:w="0" w:type="dxa"/>
              <w:left w:w="108" w:type="dxa"/>
              <w:bottom w:w="0" w:type="dxa"/>
              <w:right w:w="108" w:type="dxa"/>
            </w:tcMar>
          </w:tcPr>
          <w:p w14:paraId="76EDD814" w14:textId="77777777" w:rsidR="00072784" w:rsidRDefault="00243E5E">
            <w:pPr>
              <w:pStyle w:val="Standard"/>
            </w:pPr>
            <w:r>
              <w:t>Addressing a clearly identified and significant strategic dependency (§21)</w:t>
            </w:r>
          </w:p>
        </w:tc>
        <w:tc>
          <w:tcPr>
            <w:tcW w:w="284" w:type="dxa"/>
            <w:tcMar>
              <w:top w:w="0" w:type="dxa"/>
              <w:left w:w="108" w:type="dxa"/>
              <w:bottom w:w="0" w:type="dxa"/>
              <w:right w:w="108" w:type="dxa"/>
            </w:tcMar>
          </w:tcPr>
          <w:p w14:paraId="76EDD815" w14:textId="77777777" w:rsidR="00072784" w:rsidRDefault="00072784">
            <w:pPr>
              <w:pStyle w:val="Standard"/>
              <w:rPr>
                <w:i/>
                <w:iCs/>
              </w:rPr>
            </w:pPr>
          </w:p>
        </w:tc>
        <w:tc>
          <w:tcPr>
            <w:tcW w:w="4357" w:type="dxa"/>
            <w:tcMar>
              <w:top w:w="0" w:type="dxa"/>
              <w:left w:w="108" w:type="dxa"/>
              <w:bottom w:w="0" w:type="dxa"/>
              <w:right w:w="108" w:type="dxa"/>
            </w:tcMar>
          </w:tcPr>
          <w:p w14:paraId="76EDD816" w14:textId="77777777" w:rsidR="00072784" w:rsidRDefault="00243E5E">
            <w:pPr>
              <w:pStyle w:val="Standard"/>
            </w:pPr>
            <w:r>
              <w:t>Section 3 EU dimension (question 3.3)</w:t>
            </w:r>
          </w:p>
        </w:tc>
      </w:tr>
      <w:tr w:rsidR="00072784" w14:paraId="76EDD81B" w14:textId="77777777">
        <w:tc>
          <w:tcPr>
            <w:tcW w:w="3961" w:type="dxa"/>
            <w:tcMar>
              <w:top w:w="0" w:type="dxa"/>
              <w:left w:w="108" w:type="dxa"/>
              <w:bottom w:w="0" w:type="dxa"/>
              <w:right w:w="108" w:type="dxa"/>
            </w:tcMar>
          </w:tcPr>
          <w:p w14:paraId="76EDD818" w14:textId="77777777" w:rsidR="00072784" w:rsidRDefault="00243E5E">
            <w:pPr>
              <w:pStyle w:val="Standard"/>
            </w:pPr>
            <w:r>
              <w:t>Major innovative nature, in the light of the state of the art in the sector (§22)</w:t>
            </w:r>
          </w:p>
        </w:tc>
        <w:tc>
          <w:tcPr>
            <w:tcW w:w="284" w:type="dxa"/>
            <w:tcMar>
              <w:top w:w="0" w:type="dxa"/>
              <w:left w:w="108" w:type="dxa"/>
              <w:bottom w:w="0" w:type="dxa"/>
              <w:right w:w="108" w:type="dxa"/>
            </w:tcMar>
          </w:tcPr>
          <w:p w14:paraId="76EDD819" w14:textId="77777777" w:rsidR="00072784" w:rsidRDefault="00072784">
            <w:pPr>
              <w:pStyle w:val="Standard"/>
            </w:pPr>
          </w:p>
        </w:tc>
        <w:tc>
          <w:tcPr>
            <w:tcW w:w="4357" w:type="dxa"/>
            <w:tcMar>
              <w:top w:w="0" w:type="dxa"/>
              <w:left w:w="108" w:type="dxa"/>
              <w:bottom w:w="0" w:type="dxa"/>
              <w:right w:w="108" w:type="dxa"/>
            </w:tcMar>
          </w:tcPr>
          <w:p w14:paraId="76EDD81A" w14:textId="77777777" w:rsidR="00072784" w:rsidRDefault="00243E5E">
            <w:pPr>
              <w:pStyle w:val="Standard"/>
            </w:pPr>
            <w:r>
              <w:t>Section 2. Political and industrial policy objectives (question 2.3)</w:t>
            </w:r>
          </w:p>
        </w:tc>
      </w:tr>
      <w:tr w:rsidR="00072784" w14:paraId="76EDD81F" w14:textId="77777777">
        <w:tc>
          <w:tcPr>
            <w:tcW w:w="3961" w:type="dxa"/>
            <w:tcMar>
              <w:top w:w="0" w:type="dxa"/>
              <w:left w:w="108" w:type="dxa"/>
              <w:bottom w:w="0" w:type="dxa"/>
              <w:right w:w="108" w:type="dxa"/>
            </w:tcMar>
          </w:tcPr>
          <w:p w14:paraId="76EDD81C" w14:textId="77777777" w:rsidR="00072784" w:rsidRDefault="00243E5E">
            <w:pPr>
              <w:pStyle w:val="Standard"/>
            </w:pPr>
            <w:r>
              <w:t>First industrial deployment (§23-24)</w:t>
            </w:r>
          </w:p>
        </w:tc>
        <w:tc>
          <w:tcPr>
            <w:tcW w:w="284" w:type="dxa"/>
            <w:tcMar>
              <w:top w:w="0" w:type="dxa"/>
              <w:left w:w="108" w:type="dxa"/>
              <w:bottom w:w="0" w:type="dxa"/>
              <w:right w:w="108" w:type="dxa"/>
            </w:tcMar>
          </w:tcPr>
          <w:p w14:paraId="76EDD81D" w14:textId="77777777" w:rsidR="00072784" w:rsidRDefault="00072784">
            <w:pPr>
              <w:pStyle w:val="Standard"/>
            </w:pPr>
          </w:p>
        </w:tc>
        <w:tc>
          <w:tcPr>
            <w:tcW w:w="4357" w:type="dxa"/>
            <w:tcMar>
              <w:top w:w="0" w:type="dxa"/>
              <w:left w:w="108" w:type="dxa"/>
              <w:bottom w:w="0" w:type="dxa"/>
              <w:right w:w="108" w:type="dxa"/>
            </w:tcMar>
          </w:tcPr>
          <w:p w14:paraId="76EDD81E" w14:textId="77777777" w:rsidR="00072784" w:rsidRDefault="00243E5E">
            <w:pPr>
              <w:pStyle w:val="Standard"/>
            </w:pPr>
            <w:r>
              <w:t>Section 2. Political and industrial policy objectives (question 2.3)</w:t>
            </w:r>
          </w:p>
        </w:tc>
      </w:tr>
      <w:tr w:rsidR="00072784" w14:paraId="76EDD823" w14:textId="77777777">
        <w:tc>
          <w:tcPr>
            <w:tcW w:w="3961" w:type="dxa"/>
            <w:shd w:val="clear" w:color="auto" w:fill="EDEDED"/>
            <w:tcMar>
              <w:top w:w="0" w:type="dxa"/>
              <w:left w:w="108" w:type="dxa"/>
              <w:bottom w:w="0" w:type="dxa"/>
              <w:right w:w="108" w:type="dxa"/>
            </w:tcMar>
          </w:tcPr>
          <w:p w14:paraId="76EDD820" w14:textId="77777777" w:rsidR="00072784" w:rsidRDefault="00243E5E">
            <w:pPr>
              <w:pStyle w:val="Standard"/>
            </w:pPr>
            <w:r>
              <w:t>3.3 Importance of the project</w:t>
            </w:r>
          </w:p>
        </w:tc>
        <w:tc>
          <w:tcPr>
            <w:tcW w:w="284" w:type="dxa"/>
            <w:shd w:val="clear" w:color="auto" w:fill="EDEDED"/>
            <w:tcMar>
              <w:top w:w="0" w:type="dxa"/>
              <w:left w:w="108" w:type="dxa"/>
              <w:bottom w:w="0" w:type="dxa"/>
              <w:right w:w="108" w:type="dxa"/>
            </w:tcMar>
          </w:tcPr>
          <w:p w14:paraId="76EDD821" w14:textId="77777777" w:rsidR="00072784" w:rsidRDefault="00072784">
            <w:pPr>
              <w:pStyle w:val="Standard"/>
            </w:pPr>
          </w:p>
        </w:tc>
        <w:tc>
          <w:tcPr>
            <w:tcW w:w="4357" w:type="dxa"/>
            <w:shd w:val="clear" w:color="auto" w:fill="EDEDED"/>
            <w:tcMar>
              <w:top w:w="0" w:type="dxa"/>
              <w:left w:w="108" w:type="dxa"/>
              <w:bottom w:w="0" w:type="dxa"/>
              <w:right w:w="108" w:type="dxa"/>
            </w:tcMar>
          </w:tcPr>
          <w:p w14:paraId="76EDD822" w14:textId="77777777" w:rsidR="00072784" w:rsidRDefault="00072784">
            <w:pPr>
              <w:pStyle w:val="Standard"/>
            </w:pPr>
          </w:p>
        </w:tc>
      </w:tr>
      <w:tr w:rsidR="00072784" w14:paraId="76EDD827" w14:textId="77777777">
        <w:tc>
          <w:tcPr>
            <w:tcW w:w="3961" w:type="dxa"/>
            <w:tcMar>
              <w:top w:w="0" w:type="dxa"/>
              <w:left w:w="108" w:type="dxa"/>
              <w:bottom w:w="0" w:type="dxa"/>
              <w:right w:w="108" w:type="dxa"/>
            </w:tcMar>
          </w:tcPr>
          <w:p w14:paraId="76EDD824" w14:textId="77777777" w:rsidR="00072784" w:rsidRDefault="00243E5E">
            <w:pPr>
              <w:pStyle w:val="Standard"/>
            </w:pPr>
            <w:r>
              <w:t>Importance of the project (§26)</w:t>
            </w:r>
          </w:p>
        </w:tc>
        <w:tc>
          <w:tcPr>
            <w:tcW w:w="284" w:type="dxa"/>
            <w:tcMar>
              <w:top w:w="0" w:type="dxa"/>
              <w:left w:w="108" w:type="dxa"/>
              <w:bottom w:w="0" w:type="dxa"/>
              <w:right w:w="108" w:type="dxa"/>
            </w:tcMar>
          </w:tcPr>
          <w:p w14:paraId="76EDD825" w14:textId="77777777" w:rsidR="00072784" w:rsidRDefault="00072784">
            <w:pPr>
              <w:pStyle w:val="Standard"/>
            </w:pPr>
          </w:p>
        </w:tc>
        <w:tc>
          <w:tcPr>
            <w:tcW w:w="4357" w:type="dxa"/>
            <w:tcMar>
              <w:top w:w="0" w:type="dxa"/>
              <w:left w:w="108" w:type="dxa"/>
              <w:bottom w:w="0" w:type="dxa"/>
              <w:right w:w="108" w:type="dxa"/>
            </w:tcMar>
          </w:tcPr>
          <w:p w14:paraId="76EDD826" w14:textId="77777777" w:rsidR="00072784" w:rsidRDefault="00243E5E">
            <w:pPr>
              <w:pStyle w:val="Standard"/>
            </w:pPr>
            <w:r>
              <w:t>Section 2. Political and industrial policy objectives (question 2.1)</w:t>
            </w:r>
          </w:p>
        </w:tc>
      </w:tr>
      <w:tr w:rsidR="00072784" w14:paraId="76EDD82B" w14:textId="77777777">
        <w:tc>
          <w:tcPr>
            <w:tcW w:w="3961" w:type="dxa"/>
            <w:tcMar>
              <w:top w:w="0" w:type="dxa"/>
              <w:left w:w="108" w:type="dxa"/>
              <w:bottom w:w="0" w:type="dxa"/>
              <w:right w:w="108" w:type="dxa"/>
            </w:tcMar>
          </w:tcPr>
          <w:p w14:paraId="76EDD828" w14:textId="77777777" w:rsidR="00072784" w:rsidRDefault="00072784">
            <w:pPr>
              <w:pStyle w:val="Standard"/>
            </w:pPr>
          </w:p>
        </w:tc>
        <w:tc>
          <w:tcPr>
            <w:tcW w:w="284" w:type="dxa"/>
            <w:tcMar>
              <w:top w:w="0" w:type="dxa"/>
              <w:left w:w="108" w:type="dxa"/>
              <w:bottom w:w="0" w:type="dxa"/>
              <w:right w:w="108" w:type="dxa"/>
            </w:tcMar>
          </w:tcPr>
          <w:p w14:paraId="76EDD829" w14:textId="77777777" w:rsidR="00072784" w:rsidRDefault="00072784">
            <w:pPr>
              <w:pStyle w:val="Standard"/>
            </w:pPr>
          </w:p>
        </w:tc>
        <w:tc>
          <w:tcPr>
            <w:tcW w:w="4357" w:type="dxa"/>
            <w:tcMar>
              <w:top w:w="0" w:type="dxa"/>
              <w:left w:w="108" w:type="dxa"/>
              <w:bottom w:w="0" w:type="dxa"/>
              <w:right w:w="108" w:type="dxa"/>
            </w:tcMar>
          </w:tcPr>
          <w:p w14:paraId="76EDD82A" w14:textId="77777777" w:rsidR="00072784" w:rsidRDefault="00072784">
            <w:pPr>
              <w:pStyle w:val="Standard"/>
            </w:pPr>
          </w:p>
        </w:tc>
      </w:tr>
      <w:tr w:rsidR="00072784" w14:paraId="76EDD82F" w14:textId="77777777">
        <w:tc>
          <w:tcPr>
            <w:tcW w:w="3961" w:type="dxa"/>
            <w:tcMar>
              <w:top w:w="0" w:type="dxa"/>
              <w:left w:w="108" w:type="dxa"/>
              <w:bottom w:w="0" w:type="dxa"/>
              <w:right w:w="108" w:type="dxa"/>
            </w:tcMar>
          </w:tcPr>
          <w:p w14:paraId="76EDD82C" w14:textId="77777777" w:rsidR="00072784" w:rsidRDefault="00072784">
            <w:pPr>
              <w:pStyle w:val="Standard"/>
            </w:pPr>
          </w:p>
        </w:tc>
        <w:tc>
          <w:tcPr>
            <w:tcW w:w="284" w:type="dxa"/>
            <w:tcMar>
              <w:top w:w="0" w:type="dxa"/>
              <w:left w:w="108" w:type="dxa"/>
              <w:bottom w:w="0" w:type="dxa"/>
              <w:right w:w="108" w:type="dxa"/>
            </w:tcMar>
          </w:tcPr>
          <w:p w14:paraId="76EDD82D" w14:textId="77777777" w:rsidR="00072784" w:rsidRDefault="00072784">
            <w:pPr>
              <w:pStyle w:val="Standard"/>
            </w:pPr>
          </w:p>
        </w:tc>
        <w:tc>
          <w:tcPr>
            <w:tcW w:w="4357" w:type="dxa"/>
            <w:tcMar>
              <w:top w:w="0" w:type="dxa"/>
              <w:left w:w="108" w:type="dxa"/>
              <w:bottom w:w="0" w:type="dxa"/>
              <w:right w:w="108" w:type="dxa"/>
            </w:tcMar>
          </w:tcPr>
          <w:p w14:paraId="76EDD82E" w14:textId="77777777" w:rsidR="00072784" w:rsidRDefault="00072784">
            <w:pPr>
              <w:pStyle w:val="Standard"/>
            </w:pPr>
          </w:p>
        </w:tc>
      </w:tr>
    </w:tbl>
    <w:p w14:paraId="76EDD830" w14:textId="77777777" w:rsidR="00072784" w:rsidRDefault="00072784">
      <w:pPr>
        <w:pStyle w:val="Standard"/>
      </w:pPr>
    </w:p>
    <w:sectPr w:rsidR="00072784">
      <w:headerReference w:type="default" r:id="rId12"/>
      <w:footerReference w:type="default" r:id="rId13"/>
      <w:headerReference w:type="first" r:id="rId14"/>
      <w:endnotePr>
        <w:numFmt w:val="lowerLetter"/>
      </w:endnotePr>
      <w:pgSz w:w="11906" w:h="16838"/>
      <w:pgMar w:top="1020" w:right="1701" w:bottom="1134"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EE230" w14:textId="77777777" w:rsidR="00243E5E" w:rsidRDefault="00243E5E">
      <w:r>
        <w:separator/>
      </w:r>
    </w:p>
  </w:endnote>
  <w:endnote w:type="continuationSeparator" w:id="0">
    <w:p w14:paraId="08492ADE" w14:textId="77777777" w:rsidR="00243E5E" w:rsidRDefault="00243E5E">
      <w:r>
        <w:continuationSeparator/>
      </w:r>
    </w:p>
  </w:endnote>
  <w:endnote w:type="continuationNotice" w:id="1">
    <w:p w14:paraId="26F7C718" w14:textId="77777777" w:rsidR="00243E5E" w:rsidRDefault="00243E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charset w:val="00"/>
    <w:family w:val="roman"/>
    <w:pitch w:val="default"/>
  </w:font>
  <w:font w:name="Lucida Sans">
    <w:panose1 w:val="020B0602030504020204"/>
    <w:charset w:val="00"/>
    <w:family w:val="swiss"/>
    <w:pitch w:val="variable"/>
    <w:sig w:usb0="00000003" w:usb1="00000000" w:usb2="00000000" w:usb3="00000000" w:csb0="00000001" w:csb1="00000000"/>
  </w:font>
  <w:font w:name="Times New Roman Bold">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DD838" w14:textId="77777777" w:rsidR="00072784" w:rsidRDefault="00243E5E">
    <w:pPr>
      <w:pStyle w:val="FooterLine"/>
      <w:jc w:val="center"/>
    </w:pPr>
    <w:r>
      <w:fldChar w:fldCharType="begin"/>
    </w:r>
    <w:r>
      <w:instrText xml:space="preserve"> PAGE </w:instrText>
    </w:r>
    <w:r>
      <w:fldChar w:fldCharType="separate"/>
    </w:r>
    <w:r>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E77B9" w14:textId="77777777" w:rsidR="00243E5E" w:rsidRDefault="00243E5E">
      <w:r>
        <w:rPr>
          <w:color w:val="000000"/>
        </w:rPr>
        <w:separator/>
      </w:r>
    </w:p>
  </w:footnote>
  <w:footnote w:type="continuationSeparator" w:id="0">
    <w:p w14:paraId="26C4425F" w14:textId="77777777" w:rsidR="00243E5E" w:rsidRDefault="00243E5E">
      <w:r>
        <w:continuationSeparator/>
      </w:r>
    </w:p>
  </w:footnote>
  <w:footnote w:type="continuationNotice" w:id="1">
    <w:p w14:paraId="0A85EFB3" w14:textId="77777777" w:rsidR="00243E5E" w:rsidRDefault="00243E5E"/>
  </w:footnote>
  <w:footnote w:id="2">
    <w:p w14:paraId="76EDD83C" w14:textId="77777777" w:rsidR="00072784" w:rsidRDefault="00243E5E">
      <w:pPr>
        <w:pStyle w:val="Textpoznmkypodiarou"/>
        <w:rPr>
          <w:lang w:val="en-US"/>
        </w:rPr>
      </w:pPr>
      <w:r>
        <w:rPr>
          <w:rStyle w:val="Odkaznapoznmkupodiarou"/>
        </w:rPr>
        <w:footnoteRef/>
      </w:r>
      <w:r>
        <w:t xml:space="preserve"> Additional projects which would qualify as infrastructure projects according to the Commission terminology could be considered in the Design phase, provided they can contribute to the roadmap of the IPCEI.</w:t>
      </w:r>
    </w:p>
  </w:footnote>
  <w:footnote w:id="3">
    <w:p w14:paraId="76EDD83D" w14:textId="77777777" w:rsidR="00072784" w:rsidRDefault="00243E5E">
      <w:pPr>
        <w:pStyle w:val="Footnote"/>
        <w:jc w:val="left"/>
      </w:pPr>
      <w:r>
        <w:rPr>
          <w:rStyle w:val="Odkaznapoznmkupodiarou"/>
        </w:rPr>
        <w:footnoteRef/>
      </w:r>
      <w:r>
        <w:t xml:space="preserve"> Regular upgrades without an innovative dimension of existing facilities and the development of newer versions of existing products do not qualify as first industrial deployment.</w:t>
      </w:r>
    </w:p>
  </w:footnote>
  <w:footnote w:id="4">
    <w:p w14:paraId="76EDD83E" w14:textId="77777777" w:rsidR="00072784" w:rsidRDefault="00243E5E">
      <w:pPr>
        <w:pStyle w:val="Footnote"/>
        <w:jc w:val="left"/>
      </w:pPr>
      <w:r>
        <w:rPr>
          <w:rStyle w:val="Odkaznapoznmkupodiarou"/>
        </w:rPr>
        <w:footnoteRef/>
      </w:r>
      <w:r>
        <w:rPr>
          <w:lang w:val="en-US"/>
        </w:rPr>
        <w:t xml:space="preserve"> </w:t>
      </w:r>
      <w:hyperlink r:id="rId1" w:history="1">
        <w:r>
          <w:rPr>
            <w:rStyle w:val="Hypertextovprepojenie"/>
            <w:lang w:val="en-US"/>
          </w:rPr>
          <w:t>https://single-market-economy.ec.europa.eu/industry/industrial-alliances/european-industrial-alliance-small-modular-reactors_en</w:t>
        </w:r>
      </w:hyperlink>
      <w:r>
        <w:rPr>
          <w:lang w:val="en-US"/>
        </w:rPr>
        <w:t>.</w:t>
      </w:r>
    </w:p>
  </w:footnote>
  <w:footnote w:id="5">
    <w:p w14:paraId="76EDD83F" w14:textId="77777777" w:rsidR="00072784" w:rsidRDefault="00243E5E">
      <w:pPr>
        <w:pStyle w:val="Textpoznmkypodiarou"/>
        <w:rPr>
          <w:sz w:val="16"/>
          <w:szCs w:val="16"/>
          <w:lang w:val="en-US"/>
        </w:rPr>
      </w:pPr>
      <w:r>
        <w:rPr>
          <w:rStyle w:val="Odkaznapoznmkupodiarou"/>
        </w:rPr>
        <w:footnoteRef/>
      </w:r>
      <w:r>
        <w:rPr>
          <w:lang w:val="en-US"/>
        </w:rPr>
        <w:t xml:space="preserve"> </w:t>
      </w:r>
      <w:r>
        <w:rPr>
          <w:sz w:val="16"/>
          <w:szCs w:val="16"/>
          <w:lang w:val="en-US"/>
        </w:rPr>
        <w:t>According to Regulation (EU) 2021/523</w:t>
      </w:r>
      <w:r>
        <w:rPr>
          <w:sz w:val="16"/>
          <w:szCs w:val="16"/>
        </w:rPr>
        <w:t>, “</w:t>
      </w:r>
      <w:r>
        <w:rPr>
          <w:i/>
          <w:iCs/>
          <w:sz w:val="16"/>
          <w:szCs w:val="16"/>
        </w:rPr>
        <w:t>the decommissioning, operation, adaptation or construction of nuclear power stations</w:t>
      </w:r>
      <w:r>
        <w:rPr>
          <w:sz w:val="16"/>
          <w:szCs w:val="16"/>
        </w:rPr>
        <w:t>” cannot benefit from the “</w:t>
      </w:r>
      <w:proofErr w:type="spellStart"/>
      <w:r>
        <w:rPr>
          <w:sz w:val="16"/>
          <w:szCs w:val="16"/>
        </w:rPr>
        <w:t>InvestEU</w:t>
      </w:r>
      <w:proofErr w:type="spellEnd"/>
      <w:r>
        <w:rPr>
          <w:sz w:val="16"/>
          <w:szCs w:val="16"/>
        </w:rPr>
        <w:t>” guarantee, but allows funding, for example, to research reactors, front end of fuel lifecycle.</w:t>
      </w:r>
    </w:p>
  </w:footnote>
  <w:footnote w:id="6">
    <w:p w14:paraId="76EDD840" w14:textId="77777777" w:rsidR="00072784" w:rsidRDefault="00243E5E">
      <w:pPr>
        <w:pStyle w:val="Textpoznmkypodiarou"/>
        <w:rPr>
          <w:lang w:val="en-US"/>
        </w:rPr>
      </w:pPr>
      <w:r>
        <w:rPr>
          <w:rStyle w:val="Odkaznapoznmkupodiarou"/>
          <w:sz w:val="16"/>
          <w:szCs w:val="16"/>
        </w:rPr>
        <w:footnoteRef/>
      </w:r>
      <w:r>
        <w:rPr>
          <w:sz w:val="16"/>
          <w:szCs w:val="16"/>
        </w:rPr>
        <w:t xml:space="preserve"> </w:t>
      </w:r>
      <w:r>
        <w:rPr>
          <w:sz w:val="16"/>
          <w:szCs w:val="16"/>
          <w:lang w:val="en-US"/>
        </w:rPr>
        <w:t>According to Article 7 of the Regulation (EU) 2021/1058, </w:t>
      </w:r>
      <w:r>
        <w:rPr>
          <w:sz w:val="16"/>
          <w:szCs w:val="16"/>
        </w:rPr>
        <w:t xml:space="preserve">« </w:t>
      </w:r>
      <w:r>
        <w:rPr>
          <w:i/>
          <w:iCs/>
          <w:sz w:val="16"/>
          <w:szCs w:val="16"/>
        </w:rPr>
        <w:t>the decommissioning or the construction of nuclear power stations</w:t>
      </w:r>
      <w:r>
        <w:rPr>
          <w:sz w:val="16"/>
          <w:szCs w:val="16"/>
        </w:rPr>
        <w:t xml:space="preserve"> » are excluded from its scope.</w:t>
      </w:r>
    </w:p>
  </w:footnote>
  <w:footnote w:id="7">
    <w:p w14:paraId="76EDD841" w14:textId="77777777" w:rsidR="00072784" w:rsidRDefault="00243E5E">
      <w:pPr>
        <w:pStyle w:val="Textpoznmkypodiarou"/>
        <w:rPr>
          <w:sz w:val="16"/>
          <w:szCs w:val="16"/>
          <w:lang w:val="en-US"/>
        </w:rPr>
      </w:pPr>
      <w:r>
        <w:rPr>
          <w:rStyle w:val="Odkaznapoznmkupodiarou"/>
          <w:sz w:val="16"/>
          <w:szCs w:val="16"/>
        </w:rPr>
        <w:footnoteRef/>
      </w:r>
      <w:r>
        <w:rPr>
          <w:sz w:val="16"/>
          <w:szCs w:val="16"/>
        </w:rPr>
        <w:t xml:space="preserve"> </w:t>
      </w:r>
      <w:r>
        <w:rPr>
          <w:sz w:val="16"/>
          <w:szCs w:val="16"/>
          <w:lang w:val="en-US"/>
        </w:rPr>
        <w:t>Article 9 of Regulation (EU) 2021/1056 </w:t>
      </w:r>
      <w:r>
        <w:rPr>
          <w:sz w:val="16"/>
          <w:szCs w:val="16"/>
        </w:rPr>
        <w:t xml:space="preserve">excludes « </w:t>
      </w:r>
      <w:r>
        <w:rPr>
          <w:i/>
          <w:iCs/>
          <w:sz w:val="16"/>
          <w:szCs w:val="16"/>
        </w:rPr>
        <w:t xml:space="preserve">the decommissioning or the construction of nuclear power stations </w:t>
      </w:r>
      <w:r>
        <w:rPr>
          <w:sz w:val="16"/>
          <w:szCs w:val="16"/>
        </w:rPr>
        <w:t>».</w:t>
      </w:r>
    </w:p>
  </w:footnote>
  <w:footnote w:id="8">
    <w:p w14:paraId="76EDD842" w14:textId="77777777" w:rsidR="00072784" w:rsidRDefault="00243E5E">
      <w:pPr>
        <w:pStyle w:val="Footnote"/>
        <w:jc w:val="left"/>
      </w:pPr>
      <w:r>
        <w:rPr>
          <w:rStyle w:val="Odkaznapoznmkupodiarou"/>
        </w:rPr>
        <w:footnoteRef/>
      </w:r>
      <w:r>
        <w:t xml:space="preserve"> Regulation (EU) No 651/2014 of 17 June 2014 declaring certain categories of aid compatible with the internal market in application of Articles 107 and 108 of the Treaty Text with EEA relevance: </w:t>
      </w:r>
      <w:hyperlink r:id="rId2" w:history="1">
        <w:r>
          <w:rPr>
            <w:rStyle w:val="Hypertextovprepojenie"/>
          </w:rPr>
          <w:t>https://eur-lex.europa.eu/legal-content/EN/TXT/?uri=celex%3A32014R0651</w:t>
        </w:r>
      </w:hyperlink>
      <w:r>
        <w:t>.</w:t>
      </w:r>
    </w:p>
  </w:footnote>
  <w:footnote w:id="9">
    <w:p w14:paraId="76EDD843" w14:textId="77777777" w:rsidR="00072784" w:rsidRDefault="00243E5E">
      <w:pPr>
        <w:pStyle w:val="Footnote"/>
        <w:jc w:val="left"/>
      </w:pPr>
      <w:r>
        <w:rPr>
          <w:rStyle w:val="Odkaznapoznmkupodiarou"/>
        </w:rPr>
        <w:footnoteRef/>
      </w:r>
      <w:r>
        <w:t xml:space="preserve"> Communication from the Commission Framework for State aid for research and development and innovation 2022/C 414/01: </w:t>
      </w:r>
      <w:hyperlink r:id="rId3" w:history="1">
        <w:r>
          <w:rPr>
            <w:rStyle w:val="Hypertextovprepojenie"/>
          </w:rPr>
          <w:t>https://eur-lex.europa.eu/legal-content/EN/TXT/?uri=celex%3A52022XC1028%2803%29</w:t>
        </w:r>
      </w:hyperlink>
    </w:p>
  </w:footnote>
  <w:footnote w:id="10">
    <w:p w14:paraId="76EDD844" w14:textId="77777777" w:rsidR="00072784" w:rsidRDefault="00243E5E">
      <w:pPr>
        <w:pStyle w:val="Textpoznmkypodiarou"/>
        <w:rPr>
          <w:sz w:val="16"/>
          <w:szCs w:val="16"/>
        </w:rPr>
      </w:pPr>
      <w:r>
        <w:rPr>
          <w:rStyle w:val="Odkaznapoznmkupodiarou"/>
          <w:sz w:val="16"/>
          <w:szCs w:val="16"/>
        </w:rPr>
        <w:footnoteRef/>
      </w:r>
      <w:r>
        <w:rPr>
          <w:sz w:val="16"/>
          <w:szCs w:val="16"/>
        </w:rPr>
        <w:t xml:space="preserve"> Provided that the investment project is linked to an RDI project (from fundamental research to experimental development) and aid for RDI projects do not finance work that exceeds technological maturity level 8.</w:t>
      </w:r>
    </w:p>
  </w:footnote>
  <w:footnote w:id="11">
    <w:p w14:paraId="76EDD845" w14:textId="77777777" w:rsidR="00072784" w:rsidRDefault="00243E5E">
      <w:pPr>
        <w:pStyle w:val="Footnote"/>
        <w:jc w:val="left"/>
      </w:pPr>
      <w:r>
        <w:rPr>
          <w:rStyle w:val="Odkaznapoznmkupodiarou"/>
        </w:rPr>
        <w:footnoteRef/>
      </w:r>
      <w:r>
        <w:t xml:space="preserve"> Guidelines on State aid for climate, environmental protection and energy 2022 (2022/C 80/01</w:t>
      </w:r>
      <w:proofErr w:type="gramStart"/>
      <w:r>
        <w:t>) :</w:t>
      </w:r>
      <w:proofErr w:type="gramEnd"/>
      <w:r>
        <w:t xml:space="preserve"> </w:t>
      </w:r>
      <w:hyperlink r:id="rId4" w:history="1">
        <w:r>
          <w:rPr>
            <w:rStyle w:val="Hypertextovprepojenie"/>
          </w:rPr>
          <w:t>https://eur-lex.europa.eu/legal-content/EN/TXT/PDF/?uri=CELEX:52022XC0218(03)</w:t>
        </w:r>
      </w:hyperlink>
    </w:p>
  </w:footnote>
  <w:footnote w:id="12">
    <w:p w14:paraId="76EDD846" w14:textId="77777777" w:rsidR="00072784" w:rsidRDefault="00243E5E">
      <w:pPr>
        <w:pStyle w:val="Textpoznmkypodiarou"/>
        <w:rPr>
          <w:sz w:val="16"/>
          <w:szCs w:val="16"/>
          <w:lang w:val="en-US"/>
        </w:rPr>
      </w:pPr>
      <w:r>
        <w:rPr>
          <w:rStyle w:val="Odkaznapoznmkupodiarou"/>
          <w:sz w:val="16"/>
          <w:szCs w:val="16"/>
        </w:rPr>
        <w:footnoteRef/>
      </w:r>
      <w:r>
        <w:rPr>
          <w:sz w:val="16"/>
          <w:szCs w:val="16"/>
        </w:rPr>
        <w:t xml:space="preserve"> See point 85 of Article 2.8 of the TCTF and section 2.5 of the TCTF which aims to support the deployment of renewable energy sources and therefore, by definition, only covers those sources qualified as such in Article 2 of the Renewable Energy Directive</w:t>
      </w:r>
      <w:r>
        <w:rPr>
          <w:rStyle w:val="Odkaznapoznmkupodiarou"/>
          <w:sz w:val="16"/>
          <w:szCs w:val="16"/>
        </w:rPr>
        <w:footnoteRef/>
      </w:r>
      <w:r>
        <w:rPr>
          <w:sz w:val="16"/>
          <w:szCs w:val="16"/>
        </w:rPr>
        <w:t xml:space="preserve"> (wind, solar, geothermal, etc.).</w:t>
      </w:r>
      <w:r>
        <w:t xml:space="preserve"> </w:t>
      </w:r>
      <w:r>
        <w:rPr>
          <w:sz w:val="16"/>
          <w:szCs w:val="16"/>
        </w:rPr>
        <w:t>Section 2.6 of the TCTF, neither, is not suited for projects in the nuclear sector.</w:t>
      </w:r>
    </w:p>
  </w:footnote>
  <w:footnote w:id="13">
    <w:p w14:paraId="76EDD847" w14:textId="77777777" w:rsidR="00072784" w:rsidRDefault="00243E5E">
      <w:pPr>
        <w:pStyle w:val="Footnote"/>
      </w:pPr>
      <w:r>
        <w:rPr>
          <w:rStyle w:val="Odkaznapoznmkupodiarou"/>
        </w:rPr>
        <w:footnoteRef/>
      </w:r>
      <w:r>
        <w:t xml:space="preserve"> Adopted by the high-level meeting of the Joint European Forum for IPCEI on 27 November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DD837" w14:textId="72BCB9CA" w:rsidR="00072784" w:rsidRDefault="00072784">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DD839" w14:textId="16707171" w:rsidR="00072784" w:rsidRDefault="0007278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47A0"/>
    <w:multiLevelType w:val="multilevel"/>
    <w:tmpl w:val="FB06B2DE"/>
    <w:styleLink w:val="Aucuneliste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1CA6218"/>
    <w:multiLevelType w:val="multilevel"/>
    <w:tmpl w:val="E48C5B9A"/>
    <w:styleLink w:val="WWNum22"/>
    <w:lvl w:ilvl="0">
      <w:start w:val="1"/>
      <w:numFmt w:val="decimal"/>
      <w:pStyle w:val="TableListNumberLevel4"/>
      <w:lvlText w:val="(%1)"/>
      <w:lvlJc w:val="left"/>
      <w:pPr>
        <w:ind w:left="454" w:hanging="454"/>
      </w:pPr>
    </w:lvl>
    <w:lvl w:ilvl="1">
      <w:start w:val="1"/>
      <w:numFmt w:val="lowerLetter"/>
      <w:lvlText w:val="(%2)"/>
      <w:lvlJc w:val="left"/>
      <w:pPr>
        <w:ind w:left="907" w:hanging="453"/>
      </w:pPr>
    </w:lvl>
    <w:lvl w:ilvl="2">
      <w:numFmt w:val="bullet"/>
      <w:lvlText w:val="–"/>
      <w:lvlJc w:val="left"/>
      <w:pPr>
        <w:ind w:left="1361" w:hanging="454"/>
      </w:pPr>
      <w:rPr>
        <w:rFonts w:ascii="Times New Roman" w:hAnsi="Times New Roman"/>
      </w:rPr>
    </w:lvl>
    <w:lvl w:ilvl="3">
      <w:numFmt w:val="bullet"/>
      <w:lvlText w:val=""/>
      <w:lvlJc w:val="left"/>
      <w:pPr>
        <w:ind w:left="1814" w:hanging="453"/>
      </w:pPr>
      <w:rPr>
        <w:rFonts w:ascii="Symbol" w:hAnsi="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3202251"/>
    <w:multiLevelType w:val="multilevel"/>
    <w:tmpl w:val="574A2E22"/>
    <w:styleLink w:val="WWNum20"/>
    <w:lvl w:ilvl="0">
      <w:numFmt w:val="bullet"/>
      <w:pStyle w:val="TableListBulletLevel4"/>
      <w:lvlText w:val=""/>
      <w:lvlJc w:val="left"/>
      <w:pPr>
        <w:ind w:left="283" w:hanging="283"/>
      </w:pPr>
      <w:rPr>
        <w:rFonts w:ascii="Symbol" w:hAnsi="Symbol"/>
      </w:rPr>
    </w:lvl>
    <w:lvl w:ilvl="1">
      <w:numFmt w:val="bullet"/>
      <w:lvlText w:val=""/>
      <w:lvlJc w:val="left"/>
      <w:pPr>
        <w:ind w:left="567" w:hanging="284"/>
      </w:pPr>
      <w:rPr>
        <w:rFonts w:ascii="Symbol" w:hAnsi="Symbol"/>
      </w:rPr>
    </w:lvl>
    <w:lvl w:ilvl="2">
      <w:numFmt w:val="bullet"/>
      <w:lvlText w:val=""/>
      <w:lvlJc w:val="left"/>
      <w:pPr>
        <w:ind w:left="850" w:hanging="283"/>
      </w:pPr>
      <w:rPr>
        <w:rFonts w:ascii="Symbol" w:hAnsi="Symbol"/>
      </w:rPr>
    </w:lvl>
    <w:lvl w:ilvl="3">
      <w:numFmt w:val="bullet"/>
      <w:lvlText w:val=""/>
      <w:lvlJc w:val="left"/>
      <w:pPr>
        <w:ind w:left="1134" w:hanging="284"/>
      </w:pPr>
      <w:rPr>
        <w:rFonts w:ascii="Symbol" w:hAnsi="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8D86AA2"/>
    <w:multiLevelType w:val="multilevel"/>
    <w:tmpl w:val="52840AD4"/>
    <w:styleLink w:val="WWNum13"/>
    <w:lvl w:ilvl="0">
      <w:numFmt w:val="bullet"/>
      <w:pStyle w:val="ListBullet2Level4"/>
      <w:lvlText w:val=""/>
      <w:lvlJc w:val="left"/>
      <w:pPr>
        <w:ind w:left="1361" w:hanging="284"/>
      </w:pPr>
      <w:rPr>
        <w:rFonts w:ascii="Symbol" w:hAnsi="Symbol"/>
      </w:rPr>
    </w:lvl>
    <w:lvl w:ilvl="1">
      <w:numFmt w:val="bullet"/>
      <w:lvlText w:val=""/>
      <w:lvlJc w:val="left"/>
      <w:pPr>
        <w:ind w:left="1644" w:hanging="283"/>
      </w:pPr>
      <w:rPr>
        <w:rFonts w:ascii="Symbol" w:hAnsi="Symbol"/>
      </w:rPr>
    </w:lvl>
    <w:lvl w:ilvl="2">
      <w:numFmt w:val="bullet"/>
      <w:lvlText w:val=""/>
      <w:lvlJc w:val="left"/>
      <w:pPr>
        <w:ind w:left="1928" w:hanging="284"/>
      </w:pPr>
      <w:rPr>
        <w:rFonts w:ascii="Symbol" w:hAnsi="Symbol"/>
      </w:rPr>
    </w:lvl>
    <w:lvl w:ilvl="3">
      <w:numFmt w:val="bullet"/>
      <w:lvlText w:val=""/>
      <w:lvlJc w:val="left"/>
      <w:pPr>
        <w:ind w:left="2211" w:hanging="283"/>
      </w:pPr>
      <w:rPr>
        <w:rFonts w:ascii="Symbol" w:hAnsi="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0AA22599"/>
    <w:multiLevelType w:val="multilevel"/>
    <w:tmpl w:val="172095EA"/>
    <w:styleLink w:val="WWNum2"/>
    <w:lvl w:ilvl="0">
      <w:numFmt w:val="bullet"/>
      <w:pStyle w:val="ListDash3Level4"/>
      <w:lvlText w:val="–"/>
      <w:lvlJc w:val="left"/>
      <w:pPr>
        <w:ind w:left="2200" w:hanging="284"/>
      </w:pPr>
      <w:rPr>
        <w:rFonts w:ascii="Times New Roman" w:hAnsi="Times New Roman"/>
      </w:rPr>
    </w:lvl>
    <w:lvl w:ilvl="1">
      <w:numFmt w:val="bullet"/>
      <w:lvlText w:val="–"/>
      <w:lvlJc w:val="left"/>
      <w:pPr>
        <w:ind w:left="2483" w:hanging="283"/>
      </w:pPr>
      <w:rPr>
        <w:rFonts w:ascii="Times New Roman" w:hAnsi="Times New Roman"/>
      </w:rPr>
    </w:lvl>
    <w:lvl w:ilvl="2">
      <w:numFmt w:val="bullet"/>
      <w:lvlText w:val="–"/>
      <w:lvlJc w:val="left"/>
      <w:pPr>
        <w:ind w:left="2767" w:hanging="284"/>
      </w:pPr>
      <w:rPr>
        <w:rFonts w:ascii="Times New Roman" w:hAnsi="Times New Roman"/>
      </w:rPr>
    </w:lvl>
    <w:lvl w:ilvl="3">
      <w:numFmt w:val="bullet"/>
      <w:lvlText w:val="–"/>
      <w:lvlJc w:val="left"/>
      <w:pPr>
        <w:ind w:left="3050" w:hanging="283"/>
      </w:pPr>
      <w:rPr>
        <w:rFonts w:ascii="Times New Roman" w:hAnsi="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D6054A0"/>
    <w:multiLevelType w:val="multilevel"/>
    <w:tmpl w:val="6EA63D6E"/>
    <w:styleLink w:val="WWNum21"/>
    <w:lvl w:ilvl="0">
      <w:numFmt w:val="bullet"/>
      <w:pStyle w:val="TableListDashLevel4"/>
      <w:lvlText w:val="–"/>
      <w:lvlJc w:val="left"/>
      <w:pPr>
        <w:ind w:left="283" w:hanging="283"/>
      </w:pPr>
      <w:rPr>
        <w:rFonts w:ascii="Times New Roman" w:hAnsi="Times New Roman"/>
      </w:rPr>
    </w:lvl>
    <w:lvl w:ilvl="1">
      <w:numFmt w:val="bullet"/>
      <w:lvlText w:val="–"/>
      <w:lvlJc w:val="left"/>
      <w:pPr>
        <w:ind w:left="567" w:hanging="284"/>
      </w:pPr>
      <w:rPr>
        <w:rFonts w:ascii="Times New Roman" w:hAnsi="Times New Roman"/>
      </w:rPr>
    </w:lvl>
    <w:lvl w:ilvl="2">
      <w:numFmt w:val="bullet"/>
      <w:lvlText w:val="–"/>
      <w:lvlJc w:val="left"/>
      <w:pPr>
        <w:ind w:left="850" w:hanging="283"/>
      </w:pPr>
      <w:rPr>
        <w:rFonts w:ascii="Times New Roman" w:hAnsi="Times New Roman"/>
      </w:rPr>
    </w:lvl>
    <w:lvl w:ilvl="3">
      <w:numFmt w:val="bullet"/>
      <w:lvlText w:val="–"/>
      <w:lvlJc w:val="left"/>
      <w:pPr>
        <w:ind w:left="1134" w:hanging="284"/>
      </w:pPr>
      <w:rPr>
        <w:rFonts w:ascii="Times New Roman" w:hAnsi="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E256616"/>
    <w:multiLevelType w:val="multilevel"/>
    <w:tmpl w:val="3BDA76AE"/>
    <w:styleLink w:val="WWNum39"/>
    <w:lvl w:ilvl="0">
      <w:numFmt w:val="bullet"/>
      <w:lvlText w:val="-"/>
      <w:lvlJc w:val="left"/>
      <w:pPr>
        <w:ind w:left="1068" w:hanging="360"/>
      </w:pPr>
      <w:rPr>
        <w:rFonts w:ascii="Times New Roman" w:eastAsia="Times New Roman" w:hAnsi="Times New Roman" w:cs="Times New Roman"/>
      </w:rPr>
    </w:lvl>
    <w:lvl w:ilvl="1">
      <w:numFmt w:val="bullet"/>
      <w:lvlText w:val="o"/>
      <w:lvlJc w:val="left"/>
      <w:pPr>
        <w:ind w:left="1788" w:hanging="360"/>
      </w:pPr>
      <w:rPr>
        <w:rFonts w:ascii="Times New Roman" w:hAnsi="Times New Roman" w:cs="Times New Roman"/>
      </w:rPr>
    </w:lvl>
    <w:lvl w:ilvl="2">
      <w:numFmt w:val="bullet"/>
      <w:lvlText w:val=""/>
      <w:lvlJc w:val="left"/>
      <w:pPr>
        <w:ind w:left="360" w:hanging="360"/>
      </w:pPr>
      <w:rPr>
        <w:rFonts w:ascii="Times New Roman" w:eastAsia="Times New Roman" w:hAnsi="Times New Roman"/>
      </w:rPr>
    </w:lvl>
    <w:lvl w:ilvl="3">
      <w:numFmt w:val="bullet"/>
      <w:lvlText w:val=""/>
      <w:lvlJc w:val="left"/>
      <w:pPr>
        <w:ind w:left="3228" w:hanging="360"/>
      </w:pPr>
      <w:rPr>
        <w:rFonts w:ascii="Symbol" w:hAnsi="Symbol"/>
      </w:rPr>
    </w:lvl>
    <w:lvl w:ilvl="4">
      <w:numFmt w:val="bullet"/>
      <w:lvlText w:val="o"/>
      <w:lvlJc w:val="left"/>
      <w:pPr>
        <w:ind w:left="3948" w:hanging="360"/>
      </w:pPr>
      <w:rPr>
        <w:rFonts w:ascii="Times New Roman" w:hAnsi="Times New Roman" w:cs="Times New Roman"/>
      </w:rPr>
    </w:lvl>
    <w:lvl w:ilvl="5">
      <w:numFmt w:val="bullet"/>
      <w:lvlText w:val=""/>
      <w:lvlJc w:val="left"/>
      <w:pPr>
        <w:ind w:left="4668" w:hanging="360"/>
      </w:pPr>
    </w:lvl>
    <w:lvl w:ilvl="6">
      <w:numFmt w:val="bullet"/>
      <w:lvlText w:val=""/>
      <w:lvlJc w:val="left"/>
      <w:pPr>
        <w:ind w:left="5388" w:hanging="360"/>
      </w:pPr>
      <w:rPr>
        <w:rFonts w:ascii="Symbol" w:hAnsi="Symbol"/>
      </w:rPr>
    </w:lvl>
    <w:lvl w:ilvl="7">
      <w:numFmt w:val="bullet"/>
      <w:lvlText w:val="o"/>
      <w:lvlJc w:val="left"/>
      <w:pPr>
        <w:ind w:left="6108" w:hanging="360"/>
      </w:pPr>
      <w:rPr>
        <w:rFonts w:ascii="Times New Roman" w:hAnsi="Times New Roman" w:cs="Times New Roman"/>
      </w:rPr>
    </w:lvl>
    <w:lvl w:ilvl="8">
      <w:numFmt w:val="bullet"/>
      <w:lvlText w:val=""/>
      <w:lvlJc w:val="left"/>
      <w:pPr>
        <w:ind w:left="6828" w:hanging="360"/>
      </w:pPr>
    </w:lvl>
  </w:abstractNum>
  <w:abstractNum w:abstractNumId="7" w15:restartNumberingAfterBreak="0">
    <w:nsid w:val="1D6676BC"/>
    <w:multiLevelType w:val="hybridMultilevel"/>
    <w:tmpl w:val="8CA667EA"/>
    <w:lvl w:ilvl="0" w:tplc="570CBE5E">
      <w:start w:val="1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DC003F1"/>
    <w:multiLevelType w:val="multilevel"/>
    <w:tmpl w:val="C4686C74"/>
    <w:styleLink w:val="Outline"/>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9" w15:restartNumberingAfterBreak="0">
    <w:nsid w:val="210C7492"/>
    <w:multiLevelType w:val="multilevel"/>
    <w:tmpl w:val="B782818C"/>
    <w:styleLink w:val="WWOutlineListStyle4"/>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10" w15:restartNumberingAfterBreak="0">
    <w:nsid w:val="229C73B7"/>
    <w:multiLevelType w:val="multilevel"/>
    <w:tmpl w:val="109A5914"/>
    <w:styleLink w:val="WWNum9"/>
    <w:lvl w:ilvl="0">
      <w:start w:val="1"/>
      <w:numFmt w:val="decimal"/>
      <w:pStyle w:val="ListNumber1Level4"/>
      <w:lvlText w:val="(%1)"/>
      <w:lvlJc w:val="left"/>
      <w:pPr>
        <w:ind w:left="1191" w:hanging="709"/>
      </w:pPr>
    </w:lvl>
    <w:lvl w:ilvl="1">
      <w:start w:val="1"/>
      <w:numFmt w:val="lowerLetter"/>
      <w:lvlText w:val="(%2)"/>
      <w:lvlJc w:val="left"/>
      <w:pPr>
        <w:ind w:left="1899" w:hanging="708"/>
      </w:pPr>
    </w:lvl>
    <w:lvl w:ilvl="2">
      <w:numFmt w:val="bullet"/>
      <w:lvlText w:val="–"/>
      <w:lvlJc w:val="left"/>
      <w:pPr>
        <w:ind w:left="2608" w:hanging="709"/>
      </w:pPr>
      <w:rPr>
        <w:rFonts w:ascii="Times New Roman" w:hAnsi="Times New Roman"/>
      </w:rPr>
    </w:lvl>
    <w:lvl w:ilvl="3">
      <w:numFmt w:val="bullet"/>
      <w:lvlText w:val=""/>
      <w:lvlJc w:val="left"/>
      <w:pPr>
        <w:ind w:left="3317" w:hanging="709"/>
      </w:pPr>
      <w:rPr>
        <w:rFonts w:ascii="Symbol" w:hAnsi="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25FA2A12"/>
    <w:multiLevelType w:val="multilevel"/>
    <w:tmpl w:val="6366D360"/>
    <w:styleLink w:val="WWOutlineListStyle1"/>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12" w15:restartNumberingAfterBreak="0">
    <w:nsid w:val="27C604D8"/>
    <w:multiLevelType w:val="hybridMultilevel"/>
    <w:tmpl w:val="7500E54A"/>
    <w:lvl w:ilvl="0" w:tplc="040C0001">
      <w:start w:val="5"/>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85341A7"/>
    <w:multiLevelType w:val="multilevel"/>
    <w:tmpl w:val="D9644954"/>
    <w:styleLink w:val="WWNum11"/>
    <w:lvl w:ilvl="0">
      <w:numFmt w:val="bullet"/>
      <w:pStyle w:val="ListBullet4Level4"/>
      <w:lvlText w:val=""/>
      <w:lvlJc w:val="left"/>
      <w:pPr>
        <w:ind w:left="3163" w:hanging="283"/>
      </w:pPr>
      <w:rPr>
        <w:rFonts w:ascii="Symbol" w:hAnsi="Symbol"/>
      </w:rPr>
    </w:lvl>
    <w:lvl w:ilvl="1">
      <w:numFmt w:val="bullet"/>
      <w:lvlText w:val=""/>
      <w:lvlJc w:val="left"/>
      <w:pPr>
        <w:ind w:left="3447" w:hanging="284"/>
      </w:pPr>
      <w:rPr>
        <w:rFonts w:ascii="Symbol" w:hAnsi="Symbol"/>
      </w:rPr>
    </w:lvl>
    <w:lvl w:ilvl="2">
      <w:numFmt w:val="bullet"/>
      <w:lvlText w:val=""/>
      <w:lvlJc w:val="left"/>
      <w:pPr>
        <w:ind w:left="3730" w:hanging="283"/>
      </w:pPr>
      <w:rPr>
        <w:rFonts w:ascii="Symbol" w:hAnsi="Symbol"/>
      </w:rPr>
    </w:lvl>
    <w:lvl w:ilvl="3">
      <w:numFmt w:val="bullet"/>
      <w:lvlText w:val=""/>
      <w:lvlJc w:val="left"/>
      <w:pPr>
        <w:ind w:left="4014" w:hanging="284"/>
      </w:pPr>
      <w:rPr>
        <w:rFonts w:ascii="Symbol" w:hAnsi="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2A6C2C92"/>
    <w:multiLevelType w:val="multilevel"/>
    <w:tmpl w:val="26E6A45C"/>
    <w:styleLink w:val="WWNum31"/>
    <w:lvl w:ilvl="0">
      <w:numFmt w:val="bullet"/>
      <w:lvlText w:val=""/>
      <w:lvlJc w:val="left"/>
      <w:pPr>
        <w:ind w:left="720" w:hanging="360"/>
      </w:pPr>
      <w:rPr>
        <w:rFonts w:ascii="Symbol" w:hAnsi="Symbol"/>
      </w:rPr>
    </w:lvl>
    <w:lvl w:ilvl="1">
      <w:numFmt w:val="bullet"/>
      <w:lvlText w:val=""/>
      <w:lvlJc w:val="left"/>
      <w:pPr>
        <w:ind w:left="720" w:hanging="360"/>
      </w:pPr>
      <w:rPr>
        <w:rFonts w:ascii="Symbol" w:hAnsi="Symbol"/>
      </w:rPr>
    </w:lvl>
    <w:lvl w:ilvl="2">
      <w:numFmt w:val="bullet"/>
      <w:lvlText w:val=""/>
      <w:lvlJc w:val="left"/>
      <w:pPr>
        <w:ind w:left="720" w:hanging="360"/>
      </w:pPr>
      <w:rPr>
        <w:rFonts w:ascii="Symbol" w:hAnsi="Symbol"/>
      </w:rPr>
    </w:lvl>
    <w:lvl w:ilvl="3">
      <w:numFmt w:val="bullet"/>
      <w:lvlText w:val=""/>
      <w:lvlJc w:val="left"/>
      <w:pPr>
        <w:ind w:left="720" w:hanging="360"/>
      </w:pPr>
      <w:rPr>
        <w:rFonts w:ascii="Symbol" w:hAnsi="Symbol"/>
      </w:rPr>
    </w:lvl>
    <w:lvl w:ilvl="4">
      <w:numFmt w:val="bullet"/>
      <w:lvlText w:val=""/>
      <w:lvlJc w:val="left"/>
      <w:pPr>
        <w:ind w:left="720" w:hanging="360"/>
      </w:pPr>
      <w:rPr>
        <w:rFonts w:ascii="Symbol" w:hAnsi="Symbol"/>
      </w:rPr>
    </w:lvl>
    <w:lvl w:ilvl="5">
      <w:numFmt w:val="bullet"/>
      <w:lvlText w:val=""/>
      <w:lvlJc w:val="left"/>
      <w:pPr>
        <w:ind w:left="720" w:hanging="360"/>
      </w:pPr>
      <w:rPr>
        <w:rFonts w:ascii="Symbol" w:hAnsi="Symbol"/>
      </w:rPr>
    </w:lvl>
    <w:lvl w:ilvl="6">
      <w:numFmt w:val="bullet"/>
      <w:lvlText w:val=""/>
      <w:lvlJc w:val="left"/>
      <w:pPr>
        <w:ind w:left="720" w:hanging="360"/>
      </w:pPr>
      <w:rPr>
        <w:rFonts w:ascii="Symbol" w:hAnsi="Symbol"/>
      </w:rPr>
    </w:lvl>
    <w:lvl w:ilvl="7">
      <w:numFmt w:val="bullet"/>
      <w:lvlText w:val=""/>
      <w:lvlJc w:val="left"/>
      <w:pPr>
        <w:ind w:left="720" w:hanging="360"/>
      </w:pPr>
      <w:rPr>
        <w:rFonts w:ascii="Symbol" w:hAnsi="Symbol"/>
      </w:rPr>
    </w:lvl>
    <w:lvl w:ilvl="8">
      <w:numFmt w:val="bullet"/>
      <w:lvlText w:val=""/>
      <w:lvlJc w:val="left"/>
      <w:pPr>
        <w:ind w:left="720" w:hanging="360"/>
      </w:pPr>
      <w:rPr>
        <w:rFonts w:ascii="Symbol" w:hAnsi="Symbol"/>
      </w:rPr>
    </w:lvl>
  </w:abstractNum>
  <w:abstractNum w:abstractNumId="15" w15:restartNumberingAfterBreak="0">
    <w:nsid w:val="2AF06D1C"/>
    <w:multiLevelType w:val="multilevel"/>
    <w:tmpl w:val="3302319A"/>
    <w:styleLink w:val="WWNum8"/>
    <w:lvl w:ilvl="0">
      <w:start w:val="1"/>
      <w:numFmt w:val="decimal"/>
      <w:pStyle w:val="ListNumber2Level4"/>
      <w:lvlText w:val="(%1)"/>
      <w:lvlJc w:val="left"/>
      <w:pPr>
        <w:ind w:left="1786" w:hanging="709"/>
      </w:pPr>
    </w:lvl>
    <w:lvl w:ilvl="1">
      <w:start w:val="1"/>
      <w:numFmt w:val="lowerLetter"/>
      <w:lvlText w:val="(%2)"/>
      <w:lvlJc w:val="left"/>
      <w:pPr>
        <w:ind w:left="2494" w:hanging="708"/>
      </w:pPr>
    </w:lvl>
    <w:lvl w:ilvl="2">
      <w:numFmt w:val="bullet"/>
      <w:lvlText w:val="–"/>
      <w:lvlJc w:val="left"/>
      <w:pPr>
        <w:ind w:left="3203" w:hanging="709"/>
      </w:pPr>
      <w:rPr>
        <w:rFonts w:ascii="Times New Roman" w:hAnsi="Times New Roman"/>
      </w:rPr>
    </w:lvl>
    <w:lvl w:ilvl="3">
      <w:numFmt w:val="bullet"/>
      <w:lvlText w:val=""/>
      <w:lvlJc w:val="left"/>
      <w:pPr>
        <w:ind w:left="3912" w:hanging="709"/>
      </w:pPr>
      <w:rPr>
        <w:rFonts w:ascii="Symbol" w:hAnsi="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2E1346F5"/>
    <w:multiLevelType w:val="multilevel"/>
    <w:tmpl w:val="B7805A76"/>
    <w:styleLink w:val="WWNum37"/>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17" w15:restartNumberingAfterBreak="0">
    <w:nsid w:val="2FC0037C"/>
    <w:multiLevelType w:val="multilevel"/>
    <w:tmpl w:val="B84CDE9A"/>
    <w:styleLink w:val="WWNum40"/>
    <w:lvl w:ilvl="0">
      <w:start w:val="1"/>
      <w:numFmt w:val="lowerRoman"/>
      <w:lvlText w:val="(%1)"/>
      <w:lvlJc w:val="left"/>
      <w:pPr>
        <w:ind w:left="1788" w:hanging="72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8" w15:restartNumberingAfterBreak="0">
    <w:nsid w:val="2FEE0A9A"/>
    <w:multiLevelType w:val="multilevel"/>
    <w:tmpl w:val="CBA64166"/>
    <w:styleLink w:val="WWNum30"/>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19" w15:restartNumberingAfterBreak="0">
    <w:nsid w:val="325A59E9"/>
    <w:multiLevelType w:val="multilevel"/>
    <w:tmpl w:val="0B9E2616"/>
    <w:styleLink w:val="WWNum36"/>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20" w15:restartNumberingAfterBreak="0">
    <w:nsid w:val="33AF0AF8"/>
    <w:multiLevelType w:val="multilevel"/>
    <w:tmpl w:val="ED429146"/>
    <w:styleLink w:val="WWNum26"/>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21" w15:restartNumberingAfterBreak="0">
    <w:nsid w:val="346A0971"/>
    <w:multiLevelType w:val="multilevel"/>
    <w:tmpl w:val="CCD005FE"/>
    <w:styleLink w:val="WWNum35"/>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22" w15:restartNumberingAfterBreak="0">
    <w:nsid w:val="36E822E5"/>
    <w:multiLevelType w:val="multilevel"/>
    <w:tmpl w:val="C2082528"/>
    <w:styleLink w:val="WWNum24"/>
    <w:lvl w:ilvl="0">
      <w:start w:val="1"/>
      <w:numFmt w:val="decimal"/>
      <w:pStyle w:val="Numbering5"/>
      <w:lvlText w:val="%1."/>
      <w:lvlJc w:val="left"/>
      <w:pPr>
        <w:ind w:left="1492"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38BF38CE"/>
    <w:multiLevelType w:val="multilevel"/>
    <w:tmpl w:val="E31E7F60"/>
    <w:styleLink w:val="WWNum12"/>
    <w:lvl w:ilvl="0">
      <w:numFmt w:val="bullet"/>
      <w:pStyle w:val="ListBullet3Level4"/>
      <w:lvlText w:val=""/>
      <w:lvlJc w:val="left"/>
      <w:pPr>
        <w:ind w:left="2200" w:hanging="284"/>
      </w:pPr>
      <w:rPr>
        <w:rFonts w:ascii="Symbol" w:hAnsi="Symbol"/>
      </w:rPr>
    </w:lvl>
    <w:lvl w:ilvl="1">
      <w:numFmt w:val="bullet"/>
      <w:lvlText w:val=""/>
      <w:lvlJc w:val="left"/>
      <w:pPr>
        <w:ind w:left="2483" w:hanging="283"/>
      </w:pPr>
      <w:rPr>
        <w:rFonts w:ascii="Symbol" w:hAnsi="Symbol"/>
      </w:rPr>
    </w:lvl>
    <w:lvl w:ilvl="2">
      <w:numFmt w:val="bullet"/>
      <w:lvlText w:val=""/>
      <w:lvlJc w:val="left"/>
      <w:pPr>
        <w:ind w:left="2767" w:hanging="284"/>
      </w:pPr>
      <w:rPr>
        <w:rFonts w:ascii="Symbol" w:hAnsi="Symbol"/>
      </w:rPr>
    </w:lvl>
    <w:lvl w:ilvl="3">
      <w:numFmt w:val="bullet"/>
      <w:lvlText w:val=""/>
      <w:lvlJc w:val="left"/>
      <w:pPr>
        <w:ind w:left="3050" w:hanging="283"/>
      </w:pPr>
      <w:rPr>
        <w:rFonts w:ascii="Symbol" w:hAnsi="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3D286503"/>
    <w:multiLevelType w:val="multilevel"/>
    <w:tmpl w:val="C3F0640A"/>
    <w:styleLink w:val="WWOutlineListStyle5"/>
    <w:lvl w:ilvl="0">
      <w:start w:val="1"/>
      <w:numFmt w:val="decimal"/>
      <w:pStyle w:val="Nadpis1"/>
      <w:lvlText w:val="%1."/>
      <w:lvlJc w:val="left"/>
      <w:pPr>
        <w:ind w:left="482" w:hanging="482"/>
      </w:pPr>
    </w:lvl>
    <w:lvl w:ilvl="1">
      <w:start w:val="1"/>
      <w:numFmt w:val="decimal"/>
      <w:pStyle w:val="Nadpis2"/>
      <w:lvlText w:val="%1.%2."/>
      <w:lvlJc w:val="left"/>
      <w:pPr>
        <w:ind w:left="1077" w:hanging="595"/>
      </w:pPr>
    </w:lvl>
    <w:lvl w:ilvl="2">
      <w:start w:val="1"/>
      <w:numFmt w:val="decimal"/>
      <w:pStyle w:val="Nadpis3"/>
      <w:lvlText w:val="%1.%2.%3."/>
      <w:lvlJc w:val="left"/>
      <w:pPr>
        <w:ind w:left="1922" w:hanging="845"/>
      </w:pPr>
    </w:lvl>
    <w:lvl w:ilvl="3">
      <w:start w:val="1"/>
      <w:numFmt w:val="decimal"/>
      <w:pStyle w:val="Nadpis4"/>
      <w:lvlText w:val="%1.%2.%3.%4."/>
      <w:lvlJc w:val="left"/>
      <w:pPr>
        <w:ind w:left="2880" w:hanging="958"/>
      </w:pPr>
    </w:lvl>
    <w:lvl w:ilvl="4">
      <w:start w:val="1"/>
      <w:numFmt w:val="decimal"/>
      <w:pStyle w:val="Nadpis5"/>
      <w:lvlText w:val="%1.%2.%3.%4.%5."/>
      <w:lvlJc w:val="left"/>
      <w:pPr>
        <w:ind w:left="3838" w:hanging="958"/>
      </w:pPr>
    </w:lvl>
    <w:lvl w:ilvl="5">
      <w:start w:val="1"/>
      <w:numFmt w:val="decimal"/>
      <w:pStyle w:val="Nadpis6"/>
      <w:lvlText w:val="%1.%2.%3.%4.%5.%6."/>
      <w:lvlJc w:val="left"/>
      <w:pPr>
        <w:ind w:left="3838" w:hanging="958"/>
      </w:pPr>
    </w:lvl>
    <w:lvl w:ilvl="6">
      <w:start w:val="1"/>
      <w:numFmt w:val="decimal"/>
      <w:pStyle w:val="Nadpis7"/>
      <w:lvlText w:val="%1.%2.%3.%4.%5.%6.%7."/>
      <w:lvlJc w:val="left"/>
      <w:pPr>
        <w:ind w:left="3838" w:hanging="958"/>
      </w:pPr>
    </w:lvl>
    <w:lvl w:ilvl="7">
      <w:start w:val="1"/>
      <w:numFmt w:val="decimal"/>
      <w:pStyle w:val="Nadpis8"/>
      <w:lvlText w:val="%1.%2.%3.%4.%5.%6.%7.%8."/>
      <w:lvlJc w:val="left"/>
      <w:pPr>
        <w:ind w:left="3838" w:hanging="958"/>
      </w:pPr>
    </w:lvl>
    <w:lvl w:ilvl="8">
      <w:start w:val="1"/>
      <w:numFmt w:val="decimal"/>
      <w:pStyle w:val="Nadpis9"/>
      <w:lvlText w:val="%1.%2.%3.%4.%5.%6.%7.%8.%9."/>
      <w:lvlJc w:val="left"/>
      <w:pPr>
        <w:ind w:left="3838" w:hanging="958"/>
      </w:pPr>
    </w:lvl>
  </w:abstractNum>
  <w:abstractNum w:abstractNumId="25" w15:restartNumberingAfterBreak="0">
    <w:nsid w:val="40A65787"/>
    <w:multiLevelType w:val="multilevel"/>
    <w:tmpl w:val="535C8B4E"/>
    <w:styleLink w:val="WWNum15"/>
    <w:lvl w:ilvl="0">
      <w:numFmt w:val="bullet"/>
      <w:pStyle w:val="ListBulletLevel4"/>
      <w:lvlText w:val=""/>
      <w:lvlJc w:val="left"/>
      <w:pPr>
        <w:ind w:left="283" w:hanging="283"/>
      </w:pPr>
      <w:rPr>
        <w:rFonts w:ascii="Symbol" w:hAnsi="Symbol"/>
      </w:rPr>
    </w:lvl>
    <w:lvl w:ilvl="1">
      <w:numFmt w:val="bullet"/>
      <w:lvlText w:val=""/>
      <w:lvlJc w:val="left"/>
      <w:pPr>
        <w:ind w:left="567" w:hanging="284"/>
      </w:pPr>
      <w:rPr>
        <w:rFonts w:ascii="Symbol" w:hAnsi="Symbol"/>
      </w:rPr>
    </w:lvl>
    <w:lvl w:ilvl="2">
      <w:numFmt w:val="bullet"/>
      <w:lvlText w:val=""/>
      <w:lvlJc w:val="left"/>
      <w:pPr>
        <w:ind w:left="850" w:hanging="283"/>
      </w:pPr>
      <w:rPr>
        <w:rFonts w:ascii="Symbol" w:hAnsi="Symbol"/>
      </w:rPr>
    </w:lvl>
    <w:lvl w:ilvl="3">
      <w:numFmt w:val="bullet"/>
      <w:lvlText w:val=""/>
      <w:lvlJc w:val="left"/>
      <w:pPr>
        <w:ind w:left="1134" w:hanging="284"/>
      </w:pPr>
      <w:rPr>
        <w:rFonts w:ascii="Symbol" w:hAnsi="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41767FC6"/>
    <w:multiLevelType w:val="multilevel"/>
    <w:tmpl w:val="3B4C27C8"/>
    <w:styleLink w:val="WWOutlineListStyle3"/>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27" w15:restartNumberingAfterBreak="0">
    <w:nsid w:val="41B211E3"/>
    <w:multiLevelType w:val="multilevel"/>
    <w:tmpl w:val="C2AA77D4"/>
    <w:styleLink w:val="WWNum5"/>
    <w:lvl w:ilvl="0">
      <w:numFmt w:val="bullet"/>
      <w:pStyle w:val="ListDashLevel4"/>
      <w:lvlText w:val="–"/>
      <w:lvlJc w:val="left"/>
      <w:pPr>
        <w:ind w:left="283" w:hanging="283"/>
      </w:pPr>
      <w:rPr>
        <w:rFonts w:ascii="Times New Roman" w:hAnsi="Times New Roman"/>
      </w:rPr>
    </w:lvl>
    <w:lvl w:ilvl="1">
      <w:numFmt w:val="bullet"/>
      <w:lvlText w:val="–"/>
      <w:lvlJc w:val="left"/>
      <w:pPr>
        <w:ind w:left="567" w:hanging="284"/>
      </w:pPr>
      <w:rPr>
        <w:rFonts w:ascii="Times New Roman" w:hAnsi="Times New Roman"/>
      </w:rPr>
    </w:lvl>
    <w:lvl w:ilvl="2">
      <w:numFmt w:val="bullet"/>
      <w:lvlText w:val="–"/>
      <w:lvlJc w:val="left"/>
      <w:pPr>
        <w:ind w:left="850" w:hanging="283"/>
      </w:pPr>
      <w:rPr>
        <w:rFonts w:ascii="Times New Roman" w:hAnsi="Times New Roman"/>
      </w:rPr>
    </w:lvl>
    <w:lvl w:ilvl="3">
      <w:numFmt w:val="bullet"/>
      <w:lvlText w:val="–"/>
      <w:lvlJc w:val="left"/>
      <w:pPr>
        <w:ind w:left="1134" w:hanging="284"/>
      </w:pPr>
      <w:rPr>
        <w:rFonts w:ascii="Times New Roman" w:hAnsi="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423DAD7E"/>
    <w:multiLevelType w:val="hybridMultilevel"/>
    <w:tmpl w:val="37B22DD8"/>
    <w:lvl w:ilvl="0" w:tplc="126C08CC">
      <w:start w:val="1"/>
      <w:numFmt w:val="bullet"/>
      <w:lvlText w:val=""/>
      <w:lvlJc w:val="left"/>
      <w:pPr>
        <w:ind w:left="720" w:hanging="360"/>
      </w:pPr>
      <w:rPr>
        <w:rFonts w:ascii="Symbol" w:hAnsi="Symbol" w:hint="default"/>
      </w:rPr>
    </w:lvl>
    <w:lvl w:ilvl="1" w:tplc="BB58A8F6">
      <w:start w:val="1"/>
      <w:numFmt w:val="bullet"/>
      <w:lvlText w:val="o"/>
      <w:lvlJc w:val="left"/>
      <w:pPr>
        <w:ind w:left="1440" w:hanging="360"/>
      </w:pPr>
      <w:rPr>
        <w:rFonts w:ascii="&quot;Courier New&quot;" w:hAnsi="&quot;Courier New&quot;" w:hint="default"/>
      </w:rPr>
    </w:lvl>
    <w:lvl w:ilvl="2" w:tplc="92F06C0A">
      <w:start w:val="1"/>
      <w:numFmt w:val="bullet"/>
      <w:lvlText w:val=""/>
      <w:lvlJc w:val="left"/>
      <w:pPr>
        <w:ind w:left="2160" w:hanging="360"/>
      </w:pPr>
      <w:rPr>
        <w:rFonts w:ascii="Wingdings" w:hAnsi="Wingdings" w:hint="default"/>
      </w:rPr>
    </w:lvl>
    <w:lvl w:ilvl="3" w:tplc="22209D3A">
      <w:start w:val="1"/>
      <w:numFmt w:val="bullet"/>
      <w:lvlText w:val=""/>
      <w:lvlJc w:val="left"/>
      <w:pPr>
        <w:ind w:left="2880" w:hanging="360"/>
      </w:pPr>
      <w:rPr>
        <w:rFonts w:ascii="Symbol" w:hAnsi="Symbol" w:hint="default"/>
      </w:rPr>
    </w:lvl>
    <w:lvl w:ilvl="4" w:tplc="4C2EF40C">
      <w:start w:val="1"/>
      <w:numFmt w:val="bullet"/>
      <w:lvlText w:val="o"/>
      <w:lvlJc w:val="left"/>
      <w:pPr>
        <w:ind w:left="3600" w:hanging="360"/>
      </w:pPr>
      <w:rPr>
        <w:rFonts w:ascii="Courier New" w:hAnsi="Courier New" w:hint="default"/>
      </w:rPr>
    </w:lvl>
    <w:lvl w:ilvl="5" w:tplc="31947488">
      <w:start w:val="1"/>
      <w:numFmt w:val="bullet"/>
      <w:lvlText w:val=""/>
      <w:lvlJc w:val="left"/>
      <w:pPr>
        <w:ind w:left="4320" w:hanging="360"/>
      </w:pPr>
      <w:rPr>
        <w:rFonts w:ascii="Wingdings" w:hAnsi="Wingdings" w:hint="default"/>
      </w:rPr>
    </w:lvl>
    <w:lvl w:ilvl="6" w:tplc="EEAE14F2">
      <w:start w:val="1"/>
      <w:numFmt w:val="bullet"/>
      <w:lvlText w:val=""/>
      <w:lvlJc w:val="left"/>
      <w:pPr>
        <w:ind w:left="5040" w:hanging="360"/>
      </w:pPr>
      <w:rPr>
        <w:rFonts w:ascii="Symbol" w:hAnsi="Symbol" w:hint="default"/>
      </w:rPr>
    </w:lvl>
    <w:lvl w:ilvl="7" w:tplc="E79A983C">
      <w:start w:val="1"/>
      <w:numFmt w:val="bullet"/>
      <w:lvlText w:val="o"/>
      <w:lvlJc w:val="left"/>
      <w:pPr>
        <w:ind w:left="5760" w:hanging="360"/>
      </w:pPr>
      <w:rPr>
        <w:rFonts w:ascii="Courier New" w:hAnsi="Courier New" w:hint="default"/>
      </w:rPr>
    </w:lvl>
    <w:lvl w:ilvl="8" w:tplc="9E68ADC8">
      <w:start w:val="1"/>
      <w:numFmt w:val="bullet"/>
      <w:lvlText w:val=""/>
      <w:lvlJc w:val="left"/>
      <w:pPr>
        <w:ind w:left="6480" w:hanging="360"/>
      </w:pPr>
      <w:rPr>
        <w:rFonts w:ascii="Wingdings" w:hAnsi="Wingdings" w:hint="default"/>
      </w:rPr>
    </w:lvl>
  </w:abstractNum>
  <w:abstractNum w:abstractNumId="29" w15:restartNumberingAfterBreak="0">
    <w:nsid w:val="45D67350"/>
    <w:multiLevelType w:val="multilevel"/>
    <w:tmpl w:val="343E7F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49E34860"/>
    <w:multiLevelType w:val="multilevel"/>
    <w:tmpl w:val="89864684"/>
    <w:styleLink w:val="WWNum18"/>
    <w:lvl w:ilvl="0">
      <w:start w:val="1"/>
      <w:numFmt w:val="decimal"/>
      <w:pStyle w:val="ContNumLevel3"/>
      <w:lvlText w:val="%1."/>
      <w:lvlJc w:val="left"/>
      <w:pPr>
        <w:ind w:left="476" w:hanging="476"/>
      </w:pPr>
    </w:lvl>
    <w:lvl w:ilvl="1">
      <w:start w:val="1"/>
      <w:numFmt w:val="lowerLetter"/>
      <w:lvlText w:val="%2."/>
      <w:lvlJc w:val="left"/>
      <w:pPr>
        <w:ind w:left="952" w:hanging="476"/>
      </w:pPr>
    </w:lvl>
    <w:lvl w:ilvl="2">
      <w:start w:val="1"/>
      <w:numFmt w:val="lowerRoman"/>
      <w:lvlText w:val="%3."/>
      <w:lvlJc w:val="left"/>
      <w:pPr>
        <w:ind w:left="1429" w:hanging="47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4CA63127"/>
    <w:multiLevelType w:val="multilevel"/>
    <w:tmpl w:val="D3B20190"/>
    <w:styleLink w:val="WWNum29"/>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32" w15:restartNumberingAfterBreak="0">
    <w:nsid w:val="4DB02369"/>
    <w:multiLevelType w:val="hybridMultilevel"/>
    <w:tmpl w:val="840A1984"/>
    <w:lvl w:ilvl="0" w:tplc="67BCFE8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DFB5AED"/>
    <w:multiLevelType w:val="multilevel"/>
    <w:tmpl w:val="E9EED84A"/>
    <w:styleLink w:val="WWNum19"/>
    <w:lvl w:ilvl="0">
      <w:start w:val="1"/>
      <w:numFmt w:val="upperLetter"/>
      <w:pStyle w:val="AnnexTitle"/>
      <w:lvlText w:val="Annex %1"/>
      <w:lvlJc w:val="left"/>
      <w:pPr>
        <w:ind w:left="2268" w:hanging="2268"/>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4FEC5722"/>
    <w:multiLevelType w:val="multilevel"/>
    <w:tmpl w:val="DDEEB1F0"/>
    <w:styleLink w:val="WWOutlineListStyle"/>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35" w15:restartNumberingAfterBreak="0">
    <w:nsid w:val="505340F9"/>
    <w:multiLevelType w:val="multilevel"/>
    <w:tmpl w:val="ABF09D20"/>
    <w:styleLink w:val="WWOutlineListStyle2"/>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36" w15:restartNumberingAfterBreak="0">
    <w:nsid w:val="50F178C0"/>
    <w:multiLevelType w:val="multilevel"/>
    <w:tmpl w:val="4D0EA344"/>
    <w:styleLink w:val="WWNum6"/>
    <w:lvl w:ilvl="0">
      <w:start w:val="1"/>
      <w:numFmt w:val="decimal"/>
      <w:pStyle w:val="ListNumber4Level4"/>
      <w:lvlText w:val="(%1)"/>
      <w:lvlJc w:val="left"/>
      <w:pPr>
        <w:ind w:left="3589" w:hanging="709"/>
      </w:pPr>
    </w:lvl>
    <w:lvl w:ilvl="1">
      <w:start w:val="1"/>
      <w:numFmt w:val="lowerLetter"/>
      <w:lvlText w:val="(%2)"/>
      <w:lvlJc w:val="left"/>
      <w:pPr>
        <w:ind w:left="4297" w:hanging="708"/>
      </w:pPr>
    </w:lvl>
    <w:lvl w:ilvl="2">
      <w:numFmt w:val="bullet"/>
      <w:lvlText w:val="–"/>
      <w:lvlJc w:val="left"/>
      <w:pPr>
        <w:ind w:left="5006" w:hanging="709"/>
      </w:pPr>
      <w:rPr>
        <w:rFonts w:ascii="Times New Roman" w:hAnsi="Times New Roman"/>
      </w:rPr>
    </w:lvl>
    <w:lvl w:ilvl="3">
      <w:numFmt w:val="bullet"/>
      <w:lvlText w:val=""/>
      <w:lvlJc w:val="left"/>
      <w:pPr>
        <w:ind w:left="5715" w:hanging="709"/>
      </w:pPr>
      <w:rPr>
        <w:rFonts w:ascii="Symbol" w:hAnsi="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52762F8A"/>
    <w:multiLevelType w:val="multilevel"/>
    <w:tmpl w:val="FFE0C01C"/>
    <w:styleLink w:val="WWNum17"/>
    <w:lvl w:ilvl="0">
      <w:start w:val="1"/>
      <w:numFmt w:val="decimal"/>
      <w:pStyle w:val="LegalNumPar3"/>
      <w:lvlText w:val="%1."/>
      <w:lvlJc w:val="left"/>
      <w:pPr>
        <w:ind w:left="476" w:hanging="476"/>
      </w:pPr>
    </w:lvl>
    <w:lvl w:ilvl="1">
      <w:start w:val="1"/>
      <w:numFmt w:val="lowerLetter"/>
      <w:lvlText w:val="%2."/>
      <w:lvlJc w:val="left"/>
      <w:pPr>
        <w:ind w:left="952" w:hanging="476"/>
      </w:pPr>
    </w:lvl>
    <w:lvl w:ilvl="2">
      <w:start w:val="1"/>
      <w:numFmt w:val="lowerRoman"/>
      <w:lvlText w:val="%3."/>
      <w:lvlJc w:val="left"/>
      <w:pPr>
        <w:ind w:left="1429" w:hanging="47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5599062B"/>
    <w:multiLevelType w:val="hybridMultilevel"/>
    <w:tmpl w:val="AE50B0EC"/>
    <w:lvl w:ilvl="0" w:tplc="B07C135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5D9391B"/>
    <w:multiLevelType w:val="multilevel"/>
    <w:tmpl w:val="19D4259E"/>
    <w:styleLink w:val="WWNum23"/>
    <w:lvl w:ilvl="0">
      <w:numFmt w:val="bullet"/>
      <w:pStyle w:val="Zoznam5"/>
      <w:lvlText w:val=""/>
      <w:lvlJc w:val="left"/>
      <w:pPr>
        <w:ind w:left="1492"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5A995BC7"/>
    <w:multiLevelType w:val="multilevel"/>
    <w:tmpl w:val="73BC94C2"/>
    <w:styleLink w:val="WWNum14"/>
    <w:lvl w:ilvl="0">
      <w:numFmt w:val="bullet"/>
      <w:pStyle w:val="ListBullet1Level4"/>
      <w:lvlText w:val=""/>
      <w:lvlJc w:val="left"/>
      <w:pPr>
        <w:ind w:left="765" w:hanging="283"/>
      </w:pPr>
      <w:rPr>
        <w:rFonts w:ascii="Symbol" w:hAnsi="Symbol"/>
      </w:rPr>
    </w:lvl>
    <w:lvl w:ilvl="1">
      <w:numFmt w:val="bullet"/>
      <w:lvlText w:val=""/>
      <w:lvlJc w:val="left"/>
      <w:pPr>
        <w:ind w:left="1049" w:hanging="284"/>
      </w:pPr>
      <w:rPr>
        <w:rFonts w:ascii="Symbol" w:hAnsi="Symbol"/>
      </w:rPr>
    </w:lvl>
    <w:lvl w:ilvl="2">
      <w:numFmt w:val="bullet"/>
      <w:lvlText w:val=""/>
      <w:lvlJc w:val="left"/>
      <w:pPr>
        <w:ind w:left="1332" w:hanging="283"/>
      </w:pPr>
      <w:rPr>
        <w:rFonts w:ascii="Symbol" w:hAnsi="Symbol"/>
      </w:rPr>
    </w:lvl>
    <w:lvl w:ilvl="3">
      <w:numFmt w:val="bullet"/>
      <w:lvlText w:val=""/>
      <w:lvlJc w:val="left"/>
      <w:pPr>
        <w:ind w:left="1616" w:hanging="284"/>
      </w:pPr>
      <w:rPr>
        <w:rFonts w:ascii="Symbol" w:hAnsi="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15:restartNumberingAfterBreak="0">
    <w:nsid w:val="5C503B02"/>
    <w:multiLevelType w:val="multilevel"/>
    <w:tmpl w:val="EC7273C0"/>
    <w:styleLink w:val="WWNum27"/>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42" w15:restartNumberingAfterBreak="0">
    <w:nsid w:val="627F7801"/>
    <w:multiLevelType w:val="multilevel"/>
    <w:tmpl w:val="26E81080"/>
    <w:styleLink w:val="WWNum4"/>
    <w:lvl w:ilvl="0">
      <w:numFmt w:val="bullet"/>
      <w:pStyle w:val="ListDash1Level4"/>
      <w:lvlText w:val="–"/>
      <w:lvlJc w:val="left"/>
      <w:pPr>
        <w:ind w:left="765" w:hanging="283"/>
      </w:pPr>
      <w:rPr>
        <w:rFonts w:ascii="Times New Roman" w:hAnsi="Times New Roman"/>
      </w:rPr>
    </w:lvl>
    <w:lvl w:ilvl="1">
      <w:numFmt w:val="bullet"/>
      <w:lvlText w:val="–"/>
      <w:lvlJc w:val="left"/>
      <w:pPr>
        <w:ind w:left="1049" w:hanging="284"/>
      </w:pPr>
      <w:rPr>
        <w:rFonts w:ascii="Times New Roman" w:hAnsi="Times New Roman"/>
      </w:rPr>
    </w:lvl>
    <w:lvl w:ilvl="2">
      <w:numFmt w:val="bullet"/>
      <w:lvlText w:val="–"/>
      <w:lvlJc w:val="left"/>
      <w:pPr>
        <w:ind w:left="1332" w:hanging="283"/>
      </w:pPr>
      <w:rPr>
        <w:rFonts w:ascii="Times New Roman" w:hAnsi="Times New Roman"/>
      </w:rPr>
    </w:lvl>
    <w:lvl w:ilvl="3">
      <w:numFmt w:val="bullet"/>
      <w:lvlText w:val="–"/>
      <w:lvlJc w:val="left"/>
      <w:pPr>
        <w:ind w:left="1616" w:hanging="284"/>
      </w:pPr>
      <w:rPr>
        <w:rFonts w:ascii="Times New Roman" w:hAnsi="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15:restartNumberingAfterBreak="0">
    <w:nsid w:val="6741019D"/>
    <w:multiLevelType w:val="multilevel"/>
    <w:tmpl w:val="07B027DE"/>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6BB0040F"/>
    <w:multiLevelType w:val="multilevel"/>
    <w:tmpl w:val="E6DE972C"/>
    <w:styleLink w:val="WWNum33"/>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45" w15:restartNumberingAfterBreak="0">
    <w:nsid w:val="6CF25476"/>
    <w:multiLevelType w:val="multilevel"/>
    <w:tmpl w:val="F55A221C"/>
    <w:lvl w:ilvl="0">
      <w:start w:val="6"/>
      <w:numFmt w:val="decimal"/>
      <w:lvlText w:val="%1."/>
      <w:lvlJc w:val="left"/>
      <w:pPr>
        <w:ind w:left="720" w:hanging="360"/>
      </w:pPr>
      <w:rPr>
        <w:rFonts w:hint="default"/>
      </w:rPr>
    </w:lvl>
    <w:lvl w:ilvl="1">
      <w:start w:val="1"/>
      <w:numFmt w:val="decimal"/>
      <w:isLgl/>
      <w:lvlText w:val="%1.%2."/>
      <w:lvlJc w:val="left"/>
      <w:pPr>
        <w:ind w:left="842" w:hanging="360"/>
      </w:pPr>
      <w:rPr>
        <w:rFonts w:hint="default"/>
      </w:rPr>
    </w:lvl>
    <w:lvl w:ilvl="2">
      <w:start w:val="1"/>
      <w:numFmt w:val="decimal"/>
      <w:isLgl/>
      <w:lvlText w:val="%1.%2.%3."/>
      <w:lvlJc w:val="left"/>
      <w:pPr>
        <w:ind w:left="132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3136" w:hanging="1800"/>
      </w:pPr>
      <w:rPr>
        <w:rFonts w:hint="default"/>
      </w:rPr>
    </w:lvl>
  </w:abstractNum>
  <w:abstractNum w:abstractNumId="46" w15:restartNumberingAfterBreak="0">
    <w:nsid w:val="6DE37F7B"/>
    <w:multiLevelType w:val="multilevel"/>
    <w:tmpl w:val="BDEA424C"/>
    <w:styleLink w:val="WWNum3"/>
    <w:lvl w:ilvl="0">
      <w:numFmt w:val="bullet"/>
      <w:pStyle w:val="ListDash2Level4"/>
      <w:lvlText w:val="–"/>
      <w:lvlJc w:val="left"/>
      <w:pPr>
        <w:ind w:left="1361" w:hanging="284"/>
      </w:pPr>
      <w:rPr>
        <w:rFonts w:ascii="Times New Roman" w:hAnsi="Times New Roman"/>
      </w:rPr>
    </w:lvl>
    <w:lvl w:ilvl="1">
      <w:numFmt w:val="bullet"/>
      <w:lvlText w:val="–"/>
      <w:lvlJc w:val="left"/>
      <w:pPr>
        <w:ind w:left="1644" w:hanging="283"/>
      </w:pPr>
      <w:rPr>
        <w:rFonts w:ascii="Times New Roman" w:hAnsi="Times New Roman"/>
      </w:rPr>
    </w:lvl>
    <w:lvl w:ilvl="2">
      <w:numFmt w:val="bullet"/>
      <w:lvlText w:val="–"/>
      <w:lvlJc w:val="left"/>
      <w:pPr>
        <w:ind w:left="1928" w:hanging="284"/>
      </w:pPr>
      <w:rPr>
        <w:rFonts w:ascii="Times New Roman" w:hAnsi="Times New Roman"/>
      </w:rPr>
    </w:lvl>
    <w:lvl w:ilvl="3">
      <w:numFmt w:val="bullet"/>
      <w:lvlText w:val="–"/>
      <w:lvlJc w:val="left"/>
      <w:pPr>
        <w:ind w:left="2211" w:hanging="283"/>
      </w:pPr>
      <w:rPr>
        <w:rFonts w:ascii="Times New Roman" w:hAnsi="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6DF9323B"/>
    <w:multiLevelType w:val="multilevel"/>
    <w:tmpl w:val="7B44737E"/>
    <w:styleLink w:val="WWNum1"/>
    <w:lvl w:ilvl="0">
      <w:numFmt w:val="bullet"/>
      <w:pStyle w:val="ListDash4Level4"/>
      <w:lvlText w:val="–"/>
      <w:lvlJc w:val="left"/>
      <w:pPr>
        <w:ind w:left="3163" w:hanging="283"/>
      </w:pPr>
      <w:rPr>
        <w:rFonts w:ascii="Times New Roman" w:hAnsi="Times New Roman"/>
      </w:rPr>
    </w:lvl>
    <w:lvl w:ilvl="1">
      <w:numFmt w:val="bullet"/>
      <w:lvlText w:val="–"/>
      <w:lvlJc w:val="left"/>
      <w:pPr>
        <w:ind w:left="3447" w:hanging="284"/>
      </w:pPr>
      <w:rPr>
        <w:rFonts w:ascii="Times New Roman" w:hAnsi="Times New Roman"/>
      </w:rPr>
    </w:lvl>
    <w:lvl w:ilvl="2">
      <w:numFmt w:val="bullet"/>
      <w:lvlText w:val="–"/>
      <w:lvlJc w:val="left"/>
      <w:pPr>
        <w:ind w:left="3730" w:hanging="283"/>
      </w:pPr>
      <w:rPr>
        <w:rFonts w:ascii="Times New Roman" w:hAnsi="Times New Roman"/>
      </w:rPr>
    </w:lvl>
    <w:lvl w:ilvl="3">
      <w:numFmt w:val="bullet"/>
      <w:lvlText w:val="–"/>
      <w:lvlJc w:val="left"/>
      <w:pPr>
        <w:ind w:left="4014" w:hanging="284"/>
      </w:pPr>
      <w:rPr>
        <w:rFonts w:ascii="Times New Roman" w:hAnsi="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6E3C535D"/>
    <w:multiLevelType w:val="multilevel"/>
    <w:tmpl w:val="A00A3940"/>
    <w:styleLink w:val="WWNum32"/>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49" w15:restartNumberingAfterBreak="0">
    <w:nsid w:val="6E7249FD"/>
    <w:multiLevelType w:val="multilevel"/>
    <w:tmpl w:val="833C23B6"/>
    <w:styleLink w:val="WWNum10"/>
    <w:lvl w:ilvl="0">
      <w:start w:val="1"/>
      <w:numFmt w:val="decimal"/>
      <w:pStyle w:val="ListNumberLevel4"/>
      <w:lvlText w:val="(%1)"/>
      <w:lvlJc w:val="left"/>
      <w:pPr>
        <w:ind w:left="709" w:hanging="709"/>
      </w:pPr>
    </w:lvl>
    <w:lvl w:ilvl="1">
      <w:start w:val="1"/>
      <w:numFmt w:val="lowerLetter"/>
      <w:lvlText w:val="(%2)"/>
      <w:lvlJc w:val="left"/>
      <w:pPr>
        <w:ind w:left="1417" w:hanging="708"/>
      </w:pPr>
    </w:lvl>
    <w:lvl w:ilvl="2">
      <w:numFmt w:val="bullet"/>
      <w:lvlText w:val="–"/>
      <w:lvlJc w:val="left"/>
      <w:pPr>
        <w:ind w:left="2126" w:hanging="709"/>
      </w:pPr>
      <w:rPr>
        <w:rFonts w:ascii="Times New Roman" w:hAnsi="Times New Roman"/>
      </w:rPr>
    </w:lvl>
    <w:lvl w:ilvl="3">
      <w:numFmt w:val="bullet"/>
      <w:lvlText w:val=""/>
      <w:lvlJc w:val="left"/>
      <w:pPr>
        <w:ind w:left="2835" w:hanging="709"/>
      </w:pPr>
      <w:rPr>
        <w:rFonts w:ascii="Symbol" w:hAnsi="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6EAA4568"/>
    <w:multiLevelType w:val="multilevel"/>
    <w:tmpl w:val="C0168328"/>
    <w:styleLink w:val="WWNum38"/>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51" w15:restartNumberingAfterBreak="0">
    <w:nsid w:val="72DF2381"/>
    <w:multiLevelType w:val="multilevel"/>
    <w:tmpl w:val="975C2D1E"/>
    <w:styleLink w:val="WWNum7"/>
    <w:lvl w:ilvl="0">
      <w:start w:val="1"/>
      <w:numFmt w:val="decimal"/>
      <w:pStyle w:val="ListNumber3Level4"/>
      <w:lvlText w:val="(%1)"/>
      <w:lvlJc w:val="left"/>
      <w:pPr>
        <w:ind w:left="2625" w:hanging="709"/>
      </w:pPr>
    </w:lvl>
    <w:lvl w:ilvl="1">
      <w:start w:val="1"/>
      <w:numFmt w:val="lowerLetter"/>
      <w:lvlText w:val="(%2)"/>
      <w:lvlJc w:val="left"/>
      <w:pPr>
        <w:ind w:left="3334" w:hanging="709"/>
      </w:pPr>
    </w:lvl>
    <w:lvl w:ilvl="2">
      <w:numFmt w:val="bullet"/>
      <w:lvlText w:val="–"/>
      <w:lvlJc w:val="left"/>
      <w:pPr>
        <w:ind w:left="4042" w:hanging="708"/>
      </w:pPr>
      <w:rPr>
        <w:rFonts w:ascii="Times New Roman" w:hAnsi="Times New Roman"/>
      </w:rPr>
    </w:lvl>
    <w:lvl w:ilvl="3">
      <w:numFmt w:val="bullet"/>
      <w:lvlText w:val=""/>
      <w:lvlJc w:val="left"/>
      <w:pPr>
        <w:ind w:left="4751" w:hanging="709"/>
      </w:pPr>
      <w:rPr>
        <w:rFonts w:ascii="Symbol" w:hAnsi="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2" w15:restartNumberingAfterBreak="0">
    <w:nsid w:val="75726837"/>
    <w:multiLevelType w:val="multilevel"/>
    <w:tmpl w:val="C48E11C8"/>
    <w:styleLink w:val="WWNum25"/>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Symbol" w:hAnsi="Symbol"/>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Symbol" w:hAnsi="Symbol"/>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3" w15:restartNumberingAfterBreak="0">
    <w:nsid w:val="7AF56CEE"/>
    <w:multiLevelType w:val="multilevel"/>
    <w:tmpl w:val="87A401AC"/>
    <w:styleLink w:val="WWNum28"/>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54" w15:restartNumberingAfterBreak="0">
    <w:nsid w:val="7C65145E"/>
    <w:multiLevelType w:val="multilevel"/>
    <w:tmpl w:val="7C80C376"/>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077"/>
        </w:tabs>
        <w:ind w:left="1077" w:hanging="595"/>
      </w:pPr>
    </w:lvl>
    <w:lvl w:ilvl="2">
      <w:start w:val="1"/>
      <w:numFmt w:val="decimal"/>
      <w:lvlText w:val="%1.%2.%3."/>
      <w:lvlJc w:val="left"/>
      <w:pPr>
        <w:tabs>
          <w:tab w:val="num" w:pos="1922"/>
        </w:tabs>
        <w:ind w:left="1922" w:hanging="845"/>
      </w:pPr>
      <w:rPr>
        <w:b/>
        <w:i w:val="0"/>
      </w:r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55" w15:restartNumberingAfterBreak="0">
    <w:nsid w:val="7FA06E15"/>
    <w:multiLevelType w:val="multilevel"/>
    <w:tmpl w:val="EEA246F4"/>
    <w:styleLink w:val="WWNum34"/>
    <w:lvl w:ilvl="0">
      <w:start w:val="1"/>
      <w:numFmt w:val="decimal"/>
      <w:lvlText w:val="%1."/>
      <w:lvlJc w:val="left"/>
      <w:pPr>
        <w:ind w:left="482" w:hanging="482"/>
      </w:pPr>
    </w:lvl>
    <w:lvl w:ilvl="1">
      <w:start w:val="1"/>
      <w:numFmt w:val="decimal"/>
      <w:lvlText w:val="%1.%2."/>
      <w:lvlJc w:val="left"/>
      <w:pPr>
        <w:ind w:left="1077" w:hanging="595"/>
      </w:pPr>
    </w:lvl>
    <w:lvl w:ilvl="2">
      <w:start w:val="1"/>
      <w:numFmt w:val="decimal"/>
      <w:lvlText w:val="%1.%2.%3."/>
      <w:lvlJc w:val="left"/>
      <w:pPr>
        <w:ind w:left="1922" w:hanging="845"/>
      </w:pPr>
    </w:lvl>
    <w:lvl w:ilvl="3">
      <w:start w:val="1"/>
      <w:numFmt w:val="decimal"/>
      <w:lvlText w:val="%1.%2.%3.%4."/>
      <w:lvlJc w:val="left"/>
      <w:pPr>
        <w:ind w:left="2880" w:hanging="958"/>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num w:numId="1" w16cid:durableId="1495951752">
    <w:abstractNumId w:val="24"/>
  </w:num>
  <w:num w:numId="2" w16cid:durableId="442313015">
    <w:abstractNumId w:val="9"/>
  </w:num>
  <w:num w:numId="3" w16cid:durableId="540944588">
    <w:abstractNumId w:val="8"/>
  </w:num>
  <w:num w:numId="4" w16cid:durableId="1250459043">
    <w:abstractNumId w:val="0"/>
  </w:num>
  <w:num w:numId="5" w16cid:durableId="456065025">
    <w:abstractNumId w:val="26"/>
  </w:num>
  <w:num w:numId="6" w16cid:durableId="61680939">
    <w:abstractNumId w:val="35"/>
  </w:num>
  <w:num w:numId="7" w16cid:durableId="296957345">
    <w:abstractNumId w:val="11"/>
  </w:num>
  <w:num w:numId="8" w16cid:durableId="1607152630">
    <w:abstractNumId w:val="34"/>
  </w:num>
  <w:num w:numId="9" w16cid:durableId="485439596">
    <w:abstractNumId w:val="47"/>
  </w:num>
  <w:num w:numId="10" w16cid:durableId="908078186">
    <w:abstractNumId w:val="4"/>
  </w:num>
  <w:num w:numId="11" w16cid:durableId="2032800846">
    <w:abstractNumId w:val="46"/>
  </w:num>
  <w:num w:numId="12" w16cid:durableId="1158881677">
    <w:abstractNumId w:val="42"/>
  </w:num>
  <w:num w:numId="13" w16cid:durableId="1861311876">
    <w:abstractNumId w:val="27"/>
  </w:num>
  <w:num w:numId="14" w16cid:durableId="1149245488">
    <w:abstractNumId w:val="36"/>
  </w:num>
  <w:num w:numId="15" w16cid:durableId="1508866214">
    <w:abstractNumId w:val="51"/>
  </w:num>
  <w:num w:numId="16" w16cid:durableId="1924141681">
    <w:abstractNumId w:val="15"/>
  </w:num>
  <w:num w:numId="17" w16cid:durableId="241531129">
    <w:abstractNumId w:val="10"/>
  </w:num>
  <w:num w:numId="18" w16cid:durableId="1892224012">
    <w:abstractNumId w:val="49"/>
  </w:num>
  <w:num w:numId="19" w16cid:durableId="945306689">
    <w:abstractNumId w:val="13"/>
  </w:num>
  <w:num w:numId="20" w16cid:durableId="1713114048">
    <w:abstractNumId w:val="23"/>
  </w:num>
  <w:num w:numId="21" w16cid:durableId="1916435076">
    <w:abstractNumId w:val="3"/>
  </w:num>
  <w:num w:numId="22" w16cid:durableId="605967952">
    <w:abstractNumId w:val="40"/>
  </w:num>
  <w:num w:numId="23" w16cid:durableId="1588921113">
    <w:abstractNumId w:val="25"/>
  </w:num>
  <w:num w:numId="24" w16cid:durableId="2118938454">
    <w:abstractNumId w:val="37"/>
  </w:num>
  <w:num w:numId="25" w16cid:durableId="799685630">
    <w:abstractNumId w:val="30"/>
  </w:num>
  <w:num w:numId="26" w16cid:durableId="1972438325">
    <w:abstractNumId w:val="33"/>
  </w:num>
  <w:num w:numId="27" w16cid:durableId="783767573">
    <w:abstractNumId w:val="2"/>
  </w:num>
  <w:num w:numId="28" w16cid:durableId="416026497">
    <w:abstractNumId w:val="5"/>
  </w:num>
  <w:num w:numId="29" w16cid:durableId="1464272602">
    <w:abstractNumId w:val="1"/>
  </w:num>
  <w:num w:numId="30" w16cid:durableId="1345786000">
    <w:abstractNumId w:val="39"/>
  </w:num>
  <w:num w:numId="31" w16cid:durableId="714813284">
    <w:abstractNumId w:val="22"/>
  </w:num>
  <w:num w:numId="32" w16cid:durableId="1657148460">
    <w:abstractNumId w:val="52"/>
  </w:num>
  <w:num w:numId="33" w16cid:durableId="307054841">
    <w:abstractNumId w:val="20"/>
  </w:num>
  <w:num w:numId="34" w16cid:durableId="131405861">
    <w:abstractNumId w:val="41"/>
  </w:num>
  <w:num w:numId="35" w16cid:durableId="124081511">
    <w:abstractNumId w:val="53"/>
  </w:num>
  <w:num w:numId="36" w16cid:durableId="30693548">
    <w:abstractNumId w:val="31"/>
  </w:num>
  <w:num w:numId="37" w16cid:durableId="1704137872">
    <w:abstractNumId w:val="18"/>
  </w:num>
  <w:num w:numId="38" w16cid:durableId="742721084">
    <w:abstractNumId w:val="14"/>
  </w:num>
  <w:num w:numId="39" w16cid:durableId="2134864188">
    <w:abstractNumId w:val="48"/>
  </w:num>
  <w:num w:numId="40" w16cid:durableId="1884170656">
    <w:abstractNumId w:val="44"/>
  </w:num>
  <w:num w:numId="41" w16cid:durableId="1388606373">
    <w:abstractNumId w:val="55"/>
  </w:num>
  <w:num w:numId="42" w16cid:durableId="422456556">
    <w:abstractNumId w:val="21"/>
  </w:num>
  <w:num w:numId="43" w16cid:durableId="1793476174">
    <w:abstractNumId w:val="19"/>
  </w:num>
  <w:num w:numId="44" w16cid:durableId="692193309">
    <w:abstractNumId w:val="16"/>
  </w:num>
  <w:num w:numId="45" w16cid:durableId="1002657447">
    <w:abstractNumId w:val="50"/>
  </w:num>
  <w:num w:numId="46" w16cid:durableId="1150899916">
    <w:abstractNumId w:val="6"/>
  </w:num>
  <w:num w:numId="47" w16cid:durableId="1913470455">
    <w:abstractNumId w:val="17"/>
  </w:num>
  <w:num w:numId="48" w16cid:durableId="1134130529">
    <w:abstractNumId w:val="43"/>
  </w:num>
  <w:num w:numId="49" w16cid:durableId="1070344204">
    <w:abstractNumId w:val="29"/>
  </w:num>
  <w:num w:numId="50" w16cid:durableId="762188333">
    <w:abstractNumId w:val="32"/>
  </w:num>
  <w:num w:numId="51" w16cid:durableId="304358029">
    <w:abstractNumId w:val="38"/>
  </w:num>
  <w:num w:numId="52" w16cid:durableId="1864006239">
    <w:abstractNumId w:val="28"/>
  </w:num>
  <w:num w:numId="53" w16cid:durableId="1829712627">
    <w:abstractNumId w:val="7"/>
  </w:num>
  <w:num w:numId="54" w16cid:durableId="176426129">
    <w:abstractNumId w:val="12"/>
  </w:num>
  <w:num w:numId="55" w16cid:durableId="1224826691">
    <w:abstractNumId w:val="54"/>
  </w:num>
  <w:num w:numId="56" w16cid:durableId="1979384416">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784"/>
    <w:rsid w:val="00072784"/>
    <w:rsid w:val="00243E5E"/>
    <w:rsid w:val="008F0D2D"/>
    <w:rsid w:val="00E86D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DD769"/>
  <w15:docId w15:val="{A80034D3-569D-4E58-B52A-D7B1B820F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IE"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pPr>
  </w:style>
  <w:style w:type="paragraph" w:styleId="Nadpis1">
    <w:name w:val="heading 1"/>
    <w:basedOn w:val="Standard"/>
    <w:next w:val="Text1"/>
    <w:link w:val="Nadpis1Char"/>
    <w:uiPriority w:val="1"/>
    <w:qFormat/>
    <w:pPr>
      <w:keepNext/>
      <w:numPr>
        <w:numId w:val="1"/>
      </w:numPr>
      <w:spacing w:before="240" w:after="0"/>
      <w:outlineLvl w:val="0"/>
    </w:pPr>
    <w:rPr>
      <w:b/>
      <w:smallCaps/>
    </w:rPr>
  </w:style>
  <w:style w:type="paragraph" w:styleId="Nadpis2">
    <w:name w:val="heading 2"/>
    <w:basedOn w:val="Standard"/>
    <w:next w:val="Text2"/>
    <w:link w:val="Nadpis2Char"/>
    <w:uiPriority w:val="1"/>
    <w:unhideWhenUsed/>
    <w:qFormat/>
    <w:pPr>
      <w:keepNext/>
      <w:numPr>
        <w:ilvl w:val="1"/>
        <w:numId w:val="1"/>
      </w:numPr>
      <w:outlineLvl w:val="1"/>
    </w:pPr>
    <w:rPr>
      <w:b/>
    </w:rPr>
  </w:style>
  <w:style w:type="paragraph" w:styleId="Nadpis3">
    <w:name w:val="heading 3"/>
    <w:basedOn w:val="Standard"/>
    <w:next w:val="Text3"/>
    <w:uiPriority w:val="1"/>
    <w:unhideWhenUsed/>
    <w:qFormat/>
    <w:pPr>
      <w:keepNext/>
      <w:numPr>
        <w:ilvl w:val="2"/>
        <w:numId w:val="1"/>
      </w:numPr>
      <w:outlineLvl w:val="2"/>
    </w:pPr>
    <w:rPr>
      <w:i/>
    </w:rPr>
  </w:style>
  <w:style w:type="paragraph" w:styleId="Nadpis4">
    <w:name w:val="heading 4"/>
    <w:basedOn w:val="Standard"/>
    <w:next w:val="Text4"/>
    <w:uiPriority w:val="1"/>
    <w:unhideWhenUsed/>
    <w:qFormat/>
    <w:pPr>
      <w:keepNext/>
      <w:numPr>
        <w:ilvl w:val="3"/>
        <w:numId w:val="1"/>
      </w:numPr>
      <w:outlineLvl w:val="3"/>
    </w:pPr>
  </w:style>
  <w:style w:type="paragraph" w:styleId="Nadpis5">
    <w:name w:val="heading 5"/>
    <w:basedOn w:val="Standard"/>
    <w:next w:val="Standard"/>
    <w:semiHidden/>
    <w:unhideWhenUsed/>
    <w:qFormat/>
    <w:pPr>
      <w:keepNext/>
      <w:numPr>
        <w:ilvl w:val="4"/>
        <w:numId w:val="1"/>
      </w:numPr>
      <w:outlineLvl w:val="4"/>
    </w:pPr>
  </w:style>
  <w:style w:type="paragraph" w:styleId="Nadpis6">
    <w:name w:val="heading 6"/>
    <w:basedOn w:val="Standard"/>
    <w:next w:val="Standard"/>
    <w:semiHidden/>
    <w:unhideWhenUsed/>
    <w:qFormat/>
    <w:pPr>
      <w:keepNext/>
      <w:numPr>
        <w:ilvl w:val="5"/>
        <w:numId w:val="1"/>
      </w:numPr>
      <w:tabs>
        <w:tab w:val="num" w:pos="2880"/>
      </w:tabs>
      <w:outlineLvl w:val="5"/>
    </w:pPr>
  </w:style>
  <w:style w:type="paragraph" w:styleId="Nadpis7">
    <w:name w:val="heading 7"/>
    <w:basedOn w:val="Standard"/>
    <w:next w:val="Standard"/>
    <w:qFormat/>
    <w:pPr>
      <w:keepNext/>
      <w:numPr>
        <w:ilvl w:val="6"/>
        <w:numId w:val="1"/>
      </w:numPr>
      <w:outlineLvl w:val="6"/>
    </w:pPr>
  </w:style>
  <w:style w:type="paragraph" w:styleId="Nadpis8">
    <w:name w:val="heading 8"/>
    <w:basedOn w:val="Standard"/>
    <w:next w:val="Standard"/>
    <w:qFormat/>
    <w:pPr>
      <w:keepNext/>
      <w:numPr>
        <w:ilvl w:val="7"/>
        <w:numId w:val="1"/>
      </w:numPr>
      <w:outlineLvl w:val="7"/>
    </w:pPr>
  </w:style>
  <w:style w:type="paragraph" w:styleId="Nadpis9">
    <w:name w:val="heading 9"/>
    <w:basedOn w:val="Standard"/>
    <w:next w:val="Standard"/>
    <w:qFormat/>
    <w:pPr>
      <w:keepNext/>
      <w:numPr>
        <w:ilvl w:val="8"/>
        <w:numId w:val="1"/>
      </w:numPr>
      <w:outlineLvl w:val="8"/>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numbering" w:customStyle="1" w:styleId="WWOutlineListStyle5">
    <w:name w:val="WW_OutlineListStyle_5"/>
    <w:basedOn w:val="Bezzoznamu"/>
    <w:pPr>
      <w:numPr>
        <w:numId w:val="1"/>
      </w:numPr>
    </w:pPr>
  </w:style>
  <w:style w:type="paragraph" w:customStyle="1" w:styleId="Standard">
    <w:name w:val="Standard"/>
    <w:pPr>
      <w:widowControl/>
      <w:suppressAutoHyphens/>
      <w:spacing w:after="240"/>
      <w:jc w:val="both"/>
    </w:pPr>
  </w:style>
  <w:style w:type="paragraph" w:customStyle="1" w:styleId="Heading">
    <w:name w:val="Heading"/>
    <w:basedOn w:val="Standard"/>
    <w:next w:val="Standard"/>
    <w:pPr>
      <w:spacing w:after="480"/>
      <w:jc w:val="center"/>
    </w:pPr>
    <w:rPr>
      <w:b/>
      <w:kern w:val="3"/>
      <w:sz w:val="48"/>
    </w:rPr>
  </w:style>
  <w:style w:type="paragraph" w:customStyle="1" w:styleId="Textbody">
    <w:name w:val="Text body"/>
    <w:basedOn w:val="Standard"/>
    <w:pPr>
      <w:spacing w:after="140" w:line="276" w:lineRule="auto"/>
    </w:pPr>
  </w:style>
  <w:style w:type="paragraph" w:styleId="Zoznam">
    <w:name w:val="List"/>
    <w:basedOn w:val="Textbody"/>
    <w:rPr>
      <w:rFonts w:cs="Lucida Sans"/>
    </w:rPr>
  </w:style>
  <w:style w:type="paragraph" w:styleId="Popis">
    <w:name w:val="caption"/>
    <w:basedOn w:val="Standard"/>
    <w:next w:val="Standard"/>
    <w:pPr>
      <w:spacing w:before="160" w:after="0"/>
    </w:pPr>
    <w:rPr>
      <w:i/>
      <w:sz w:val="22"/>
    </w:rPr>
  </w:style>
  <w:style w:type="paragraph" w:customStyle="1" w:styleId="Index">
    <w:name w:val="Index"/>
    <w:basedOn w:val="Standard"/>
    <w:pPr>
      <w:suppressLineNumbers/>
    </w:pPr>
    <w:rPr>
      <w:rFonts w:cs="Lucida Sans"/>
    </w:rPr>
  </w:style>
  <w:style w:type="paragraph" w:customStyle="1" w:styleId="AfterTable">
    <w:name w:val="After Table"/>
    <w:pPr>
      <w:widowControl/>
      <w:suppressAutoHyphens/>
    </w:pPr>
    <w:rPr>
      <w:sz w:val="4"/>
    </w:rPr>
  </w:style>
  <w:style w:type="paragraph" w:customStyle="1" w:styleId="AnnexTitle">
    <w:name w:val="AnnexTitle"/>
    <w:basedOn w:val="Standard"/>
    <w:next w:val="Standard"/>
    <w:pPr>
      <w:pageBreakBefore/>
      <w:numPr>
        <w:numId w:val="26"/>
      </w:numPr>
      <w:spacing w:after="480"/>
      <w:outlineLvl w:val="0"/>
    </w:pPr>
    <w:rPr>
      <w:b/>
      <w:sz w:val="32"/>
    </w:rPr>
  </w:style>
  <w:style w:type="paragraph" w:customStyle="1" w:styleId="Appendix">
    <w:name w:val="Appendix"/>
    <w:basedOn w:val="Standard"/>
    <w:next w:val="Podpis"/>
    <w:pPr>
      <w:tabs>
        <w:tab w:val="left" w:pos="10204"/>
      </w:tabs>
      <w:spacing w:before="240" w:after="0"/>
      <w:ind w:left="5102"/>
      <w:jc w:val="left"/>
    </w:pPr>
  </w:style>
  <w:style w:type="paragraph" w:customStyle="1" w:styleId="ClosingL">
    <w:name w:val="ClosingL"/>
    <w:basedOn w:val="Standard"/>
    <w:next w:val="Podpis"/>
    <w:pPr>
      <w:spacing w:before="240" w:after="0"/>
      <w:jc w:val="left"/>
    </w:pPr>
  </w:style>
  <w:style w:type="paragraph" w:customStyle="1" w:styleId="ConfidentialUE">
    <w:name w:val="Confidential UE"/>
    <w:basedOn w:val="Standard"/>
    <w:pPr>
      <w:spacing w:after="0"/>
      <w:jc w:val="center"/>
    </w:pPr>
    <w:rPr>
      <w:b/>
      <w:caps/>
      <w:sz w:val="32"/>
    </w:rPr>
  </w:style>
  <w:style w:type="paragraph" w:customStyle="1" w:styleId="Contact">
    <w:name w:val="Contact"/>
    <w:basedOn w:val="Standard"/>
    <w:pPr>
      <w:spacing w:before="480" w:after="0"/>
      <w:ind w:left="567" w:hanging="567"/>
      <w:contextualSpacing/>
      <w:jc w:val="left"/>
    </w:pPr>
  </w:style>
  <w:style w:type="paragraph" w:customStyle="1" w:styleId="ContNum">
    <w:name w:val="ContNum"/>
    <w:basedOn w:val="Standard"/>
  </w:style>
  <w:style w:type="paragraph" w:customStyle="1" w:styleId="ContNumLevel2">
    <w:name w:val="ContNum (Level 2)"/>
    <w:basedOn w:val="Standard"/>
  </w:style>
  <w:style w:type="paragraph" w:customStyle="1" w:styleId="ContNumLevel3">
    <w:name w:val="ContNum (Level 3)"/>
    <w:basedOn w:val="Standard"/>
    <w:pPr>
      <w:numPr>
        <w:numId w:val="25"/>
      </w:numPr>
    </w:pPr>
  </w:style>
  <w:style w:type="paragraph" w:customStyle="1" w:styleId="Copies">
    <w:name w:val="Copies"/>
    <w:basedOn w:val="Standard"/>
    <w:pPr>
      <w:tabs>
        <w:tab w:val="left" w:pos="7200"/>
      </w:tabs>
      <w:spacing w:before="480" w:after="0"/>
      <w:ind w:left="1531" w:hanging="1531"/>
      <w:contextualSpacing/>
      <w:jc w:val="left"/>
    </w:pPr>
  </w:style>
  <w:style w:type="paragraph" w:styleId="Dtum">
    <w:name w:val="Date"/>
    <w:basedOn w:val="Standard"/>
    <w:next w:val="References"/>
    <w:pPr>
      <w:spacing w:after="0"/>
      <w:ind w:left="5102" w:right="-567"/>
      <w:jc w:val="left"/>
    </w:pPr>
  </w:style>
  <w:style w:type="paragraph" w:customStyle="1" w:styleId="Designator">
    <w:name w:val="Designator"/>
    <w:basedOn w:val="Standard"/>
    <w:pPr>
      <w:spacing w:after="0"/>
      <w:jc w:val="center"/>
    </w:pPr>
    <w:rPr>
      <w:b/>
      <w:caps/>
      <w:sz w:val="32"/>
    </w:rPr>
  </w:style>
  <w:style w:type="paragraph" w:customStyle="1" w:styleId="DoubSign">
    <w:name w:val="DoubSign"/>
    <w:basedOn w:val="Standard"/>
    <w:pPr>
      <w:spacing w:before="1200" w:after="0"/>
      <w:jc w:val="left"/>
    </w:pPr>
  </w:style>
  <w:style w:type="paragraph" w:customStyle="1" w:styleId="EmptyParagraph">
    <w:name w:val="Empty Paragraph"/>
    <w:basedOn w:val="Standard"/>
    <w:next w:val="Standard"/>
    <w:pPr>
      <w:spacing w:before="240" w:after="0"/>
    </w:pPr>
  </w:style>
  <w:style w:type="paragraph" w:customStyle="1" w:styleId="Enclosures">
    <w:name w:val="Enclosures"/>
    <w:basedOn w:val="Standard"/>
    <w:pPr>
      <w:keepNext/>
      <w:keepLines/>
      <w:tabs>
        <w:tab w:val="left" w:pos="7200"/>
      </w:tabs>
      <w:spacing w:before="480" w:after="0"/>
      <w:ind w:left="1531" w:hanging="1531"/>
      <w:contextualSpacing/>
      <w:jc w:val="left"/>
    </w:pPr>
  </w:style>
  <w:style w:type="paragraph" w:customStyle="1" w:styleId="Endnote">
    <w:name w:val="Endnote"/>
    <w:basedOn w:val="Standard"/>
    <w:pPr>
      <w:spacing w:after="120"/>
      <w:ind w:left="357" w:hanging="357"/>
    </w:pPr>
    <w:rPr>
      <w:sz w:val="20"/>
    </w:rPr>
  </w:style>
  <w:style w:type="paragraph" w:customStyle="1" w:styleId="FigureBody">
    <w:name w:val="Figure Body"/>
    <w:basedOn w:val="Standard"/>
    <w:next w:val="FigureSource"/>
    <w:pPr>
      <w:keepNext/>
      <w:spacing w:after="40"/>
    </w:pPr>
  </w:style>
  <w:style w:type="paragraph" w:customStyle="1" w:styleId="FigureBody1">
    <w:name w:val="Figure Body 1"/>
    <w:basedOn w:val="Text1"/>
    <w:next w:val="FigureSource1"/>
    <w:pPr>
      <w:keepNext/>
      <w:spacing w:after="40"/>
    </w:pPr>
  </w:style>
  <w:style w:type="paragraph" w:customStyle="1" w:styleId="FigureBody2">
    <w:name w:val="Figure Body 2"/>
    <w:basedOn w:val="Text2"/>
    <w:next w:val="FigureSource2"/>
    <w:pPr>
      <w:keepNext/>
      <w:spacing w:after="40"/>
    </w:pPr>
  </w:style>
  <w:style w:type="paragraph" w:customStyle="1" w:styleId="FigureBody3">
    <w:name w:val="Figure Body 3"/>
    <w:basedOn w:val="Text3"/>
    <w:next w:val="FigureSource3"/>
    <w:pPr>
      <w:keepNext/>
      <w:spacing w:after="40"/>
    </w:pPr>
  </w:style>
  <w:style w:type="paragraph" w:customStyle="1" w:styleId="FigureBody4">
    <w:name w:val="Figure Body 4"/>
    <w:basedOn w:val="Text4"/>
    <w:next w:val="FigureSource4"/>
    <w:pPr>
      <w:keepNext/>
      <w:spacing w:after="40"/>
    </w:pPr>
  </w:style>
  <w:style w:type="paragraph" w:customStyle="1" w:styleId="FigureSource">
    <w:name w:val="Figure Source"/>
    <w:basedOn w:val="Standard"/>
    <w:next w:val="Standard"/>
    <w:rPr>
      <w:sz w:val="20"/>
    </w:rPr>
  </w:style>
  <w:style w:type="paragraph" w:customStyle="1" w:styleId="FigureSource1">
    <w:name w:val="Figure Source 1"/>
    <w:basedOn w:val="Text1"/>
    <w:next w:val="Text1"/>
    <w:rPr>
      <w:sz w:val="20"/>
    </w:rPr>
  </w:style>
  <w:style w:type="paragraph" w:customStyle="1" w:styleId="FigureSource2">
    <w:name w:val="Figure Source 2"/>
    <w:basedOn w:val="Text2"/>
    <w:next w:val="Text2"/>
    <w:rPr>
      <w:sz w:val="20"/>
    </w:rPr>
  </w:style>
  <w:style w:type="paragraph" w:customStyle="1" w:styleId="FigureSource3">
    <w:name w:val="Figure Source 3"/>
    <w:basedOn w:val="Text3"/>
    <w:next w:val="Text3"/>
    <w:rPr>
      <w:sz w:val="20"/>
    </w:rPr>
  </w:style>
  <w:style w:type="paragraph" w:customStyle="1" w:styleId="FigureSource4">
    <w:name w:val="Figure Source 4"/>
    <w:basedOn w:val="Text4"/>
    <w:next w:val="Text4"/>
    <w:rPr>
      <w:sz w:val="20"/>
    </w:rPr>
  </w:style>
  <w:style w:type="paragraph" w:customStyle="1" w:styleId="FigureTitle">
    <w:name w:val="Figure Title"/>
    <w:basedOn w:val="Standard"/>
    <w:next w:val="FigureBody"/>
    <w:pPr>
      <w:keepNext/>
      <w:spacing w:after="120"/>
    </w:pPr>
    <w:rPr>
      <w:b/>
      <w:i/>
    </w:rPr>
  </w:style>
  <w:style w:type="paragraph" w:customStyle="1" w:styleId="FigureTitle1">
    <w:name w:val="Figure Title 1"/>
    <w:basedOn w:val="Text1"/>
    <w:next w:val="FigureBody1"/>
    <w:pPr>
      <w:keepNext/>
      <w:spacing w:after="120"/>
    </w:pPr>
    <w:rPr>
      <w:b/>
      <w:i/>
    </w:rPr>
  </w:style>
  <w:style w:type="paragraph" w:customStyle="1" w:styleId="FigureTitle2">
    <w:name w:val="Figure Title 2"/>
    <w:basedOn w:val="Text2"/>
    <w:next w:val="FigureBody2"/>
    <w:pPr>
      <w:keepNext/>
      <w:spacing w:after="120"/>
    </w:pPr>
    <w:rPr>
      <w:b/>
      <w:i/>
    </w:rPr>
  </w:style>
  <w:style w:type="paragraph" w:customStyle="1" w:styleId="FigureTitle3">
    <w:name w:val="Figure Title 3"/>
    <w:basedOn w:val="Text3"/>
    <w:next w:val="FigureBody3"/>
    <w:pPr>
      <w:keepNext/>
      <w:spacing w:after="120"/>
    </w:pPr>
    <w:rPr>
      <w:b/>
      <w:i/>
    </w:rPr>
  </w:style>
  <w:style w:type="paragraph" w:customStyle="1" w:styleId="FigureTitle4">
    <w:name w:val="Figure Title 4"/>
    <w:basedOn w:val="Text4"/>
    <w:next w:val="FigureBody4"/>
    <w:pPr>
      <w:keepNext/>
      <w:spacing w:after="120"/>
    </w:pPr>
    <w:rPr>
      <w:b/>
      <w:i/>
    </w:rPr>
  </w:style>
  <w:style w:type="paragraph" w:customStyle="1" w:styleId="HeaderandFooter">
    <w:name w:val="Header and Footer"/>
    <w:basedOn w:val="Standard"/>
  </w:style>
  <w:style w:type="paragraph" w:styleId="Pta">
    <w:name w:val="footer"/>
    <w:basedOn w:val="Standard"/>
    <w:pPr>
      <w:spacing w:after="0"/>
      <w:ind w:right="-567"/>
      <w:jc w:val="left"/>
    </w:pPr>
    <w:rPr>
      <w:sz w:val="16"/>
    </w:rPr>
  </w:style>
  <w:style w:type="paragraph" w:customStyle="1" w:styleId="FooterLine">
    <w:name w:val="Footer Line"/>
    <w:basedOn w:val="Pta"/>
    <w:next w:val="Pta"/>
    <w:pPr>
      <w:tabs>
        <w:tab w:val="right" w:pos="8646"/>
      </w:tabs>
      <w:spacing w:before="120"/>
      <w:ind w:right="0"/>
    </w:pPr>
  </w:style>
  <w:style w:type="paragraph" w:customStyle="1" w:styleId="Footnote">
    <w:name w:val="Footnote"/>
    <w:basedOn w:val="Normlny"/>
    <w:pPr>
      <w:widowControl/>
      <w:suppressAutoHyphens w:val="0"/>
      <w:spacing w:after="120"/>
      <w:ind w:left="357" w:hanging="357"/>
      <w:jc w:val="both"/>
      <w:textAlignment w:val="auto"/>
    </w:pPr>
    <w:rPr>
      <w:sz w:val="20"/>
    </w:rPr>
  </w:style>
  <w:style w:type="paragraph" w:customStyle="1" w:styleId="LegalNumPar">
    <w:name w:val="LegalNumPar"/>
    <w:basedOn w:val="Standard"/>
    <w:pPr>
      <w:spacing w:line="360" w:lineRule="auto"/>
    </w:pPr>
  </w:style>
  <w:style w:type="paragraph" w:customStyle="1" w:styleId="LegalNumPar2">
    <w:name w:val="LegalNumPar2"/>
    <w:basedOn w:val="Standard"/>
    <w:pPr>
      <w:spacing w:line="360" w:lineRule="auto"/>
    </w:pPr>
  </w:style>
  <w:style w:type="paragraph" w:customStyle="1" w:styleId="LegalNumPar3">
    <w:name w:val="LegalNumPar3"/>
    <w:basedOn w:val="Standard"/>
    <w:pPr>
      <w:numPr>
        <w:numId w:val="24"/>
      </w:numPr>
      <w:spacing w:line="360" w:lineRule="auto"/>
    </w:pPr>
  </w:style>
  <w:style w:type="paragraph" w:customStyle="1" w:styleId="List1">
    <w:name w:val="List 1"/>
    <w:basedOn w:val="Standard"/>
  </w:style>
  <w:style w:type="paragraph" w:customStyle="1" w:styleId="ListBulletLevel2">
    <w:name w:val="List Bullet (Level 2)"/>
    <w:basedOn w:val="Standard"/>
  </w:style>
  <w:style w:type="paragraph" w:customStyle="1" w:styleId="ListBulletLevel3">
    <w:name w:val="List Bullet (Level 3)"/>
    <w:basedOn w:val="Standard"/>
  </w:style>
  <w:style w:type="paragraph" w:customStyle="1" w:styleId="ListBulletLevel4">
    <w:name w:val="List Bullet (Level 4)"/>
    <w:basedOn w:val="Standard"/>
    <w:pPr>
      <w:numPr>
        <w:numId w:val="23"/>
      </w:numPr>
    </w:pPr>
  </w:style>
  <w:style w:type="paragraph" w:customStyle="1" w:styleId="ListBullet1">
    <w:name w:val="List Bullet 1"/>
    <w:basedOn w:val="Text1"/>
  </w:style>
  <w:style w:type="paragraph" w:customStyle="1" w:styleId="ListBullet1Level2">
    <w:name w:val="List Bullet 1 (Level 2)"/>
    <w:basedOn w:val="Text1"/>
  </w:style>
  <w:style w:type="paragraph" w:customStyle="1" w:styleId="ListBullet1Level3">
    <w:name w:val="List Bullet 1 (Level 3)"/>
    <w:basedOn w:val="Text1"/>
  </w:style>
  <w:style w:type="paragraph" w:customStyle="1" w:styleId="ListBullet1Level4">
    <w:name w:val="List Bullet 1 (Level 4)"/>
    <w:basedOn w:val="Text1"/>
    <w:pPr>
      <w:numPr>
        <w:numId w:val="22"/>
      </w:numPr>
    </w:pPr>
  </w:style>
  <w:style w:type="paragraph" w:styleId="Zoznam2">
    <w:name w:val="List 2"/>
    <w:basedOn w:val="Text2"/>
  </w:style>
  <w:style w:type="paragraph" w:customStyle="1" w:styleId="ListBullet2Level2">
    <w:name w:val="List Bullet 2 (Level 2)"/>
    <w:basedOn w:val="Text2"/>
  </w:style>
  <w:style w:type="paragraph" w:customStyle="1" w:styleId="ListBullet2Level3">
    <w:name w:val="List Bullet 2 (Level 3)"/>
    <w:basedOn w:val="Text2"/>
  </w:style>
  <w:style w:type="paragraph" w:customStyle="1" w:styleId="ListBullet2Level4">
    <w:name w:val="List Bullet 2 (Level 4)"/>
    <w:basedOn w:val="Text2"/>
    <w:pPr>
      <w:numPr>
        <w:numId w:val="21"/>
      </w:numPr>
    </w:pPr>
  </w:style>
  <w:style w:type="paragraph" w:styleId="Zoznam3">
    <w:name w:val="List 3"/>
    <w:basedOn w:val="Text3"/>
  </w:style>
  <w:style w:type="paragraph" w:customStyle="1" w:styleId="ListBullet3Level2">
    <w:name w:val="List Bullet 3 (Level 2)"/>
    <w:basedOn w:val="Text3"/>
  </w:style>
  <w:style w:type="paragraph" w:customStyle="1" w:styleId="ListBullet3Level3">
    <w:name w:val="List Bullet 3 (Level 3)"/>
    <w:basedOn w:val="Text3"/>
  </w:style>
  <w:style w:type="paragraph" w:customStyle="1" w:styleId="ListBullet3Level4">
    <w:name w:val="List Bullet 3 (Level 4)"/>
    <w:basedOn w:val="Text3"/>
    <w:pPr>
      <w:numPr>
        <w:numId w:val="20"/>
      </w:numPr>
    </w:pPr>
  </w:style>
  <w:style w:type="paragraph" w:styleId="Zoznam4">
    <w:name w:val="List 4"/>
    <w:basedOn w:val="Text4"/>
  </w:style>
  <w:style w:type="paragraph" w:customStyle="1" w:styleId="ListBullet4Level2">
    <w:name w:val="List Bullet 4 (Level 2)"/>
    <w:basedOn w:val="Text4"/>
  </w:style>
  <w:style w:type="paragraph" w:customStyle="1" w:styleId="ListBullet4Level3">
    <w:name w:val="List Bullet 4 (Level 3)"/>
    <w:basedOn w:val="Text4"/>
  </w:style>
  <w:style w:type="paragraph" w:customStyle="1" w:styleId="ListBullet4Level4">
    <w:name w:val="List Bullet 4 (Level 4)"/>
    <w:basedOn w:val="Text4"/>
    <w:pPr>
      <w:numPr>
        <w:numId w:val="19"/>
      </w:numPr>
    </w:pPr>
  </w:style>
  <w:style w:type="paragraph" w:customStyle="1" w:styleId="ListDash">
    <w:name w:val="List Dash"/>
    <w:basedOn w:val="Standard"/>
  </w:style>
  <w:style w:type="paragraph" w:customStyle="1" w:styleId="ListDashLevel2">
    <w:name w:val="List Dash (Level 2)"/>
    <w:basedOn w:val="Standard"/>
  </w:style>
  <w:style w:type="paragraph" w:customStyle="1" w:styleId="ListDashLevel3">
    <w:name w:val="List Dash (Level 3)"/>
    <w:basedOn w:val="Standard"/>
  </w:style>
  <w:style w:type="paragraph" w:customStyle="1" w:styleId="ListDashLevel4">
    <w:name w:val="List Dash (Level 4)"/>
    <w:basedOn w:val="Standard"/>
    <w:pPr>
      <w:numPr>
        <w:numId w:val="13"/>
      </w:numPr>
    </w:pPr>
  </w:style>
  <w:style w:type="paragraph" w:customStyle="1" w:styleId="ListDash1">
    <w:name w:val="List Dash 1"/>
    <w:basedOn w:val="Text1"/>
  </w:style>
  <w:style w:type="paragraph" w:customStyle="1" w:styleId="ListDash1Level2">
    <w:name w:val="List Dash 1 (Level 2)"/>
    <w:basedOn w:val="Text1"/>
  </w:style>
  <w:style w:type="paragraph" w:customStyle="1" w:styleId="ListDash1Level3">
    <w:name w:val="List Dash 1 (Level 3)"/>
    <w:basedOn w:val="Text1"/>
  </w:style>
  <w:style w:type="paragraph" w:customStyle="1" w:styleId="ListDash1Level4">
    <w:name w:val="List Dash 1 (Level 4)"/>
    <w:basedOn w:val="Text1"/>
    <w:pPr>
      <w:numPr>
        <w:numId w:val="12"/>
      </w:numPr>
    </w:pPr>
  </w:style>
  <w:style w:type="paragraph" w:customStyle="1" w:styleId="ListDash2">
    <w:name w:val="List Dash 2"/>
    <w:basedOn w:val="Text2"/>
  </w:style>
  <w:style w:type="paragraph" w:customStyle="1" w:styleId="ListDash2Level2">
    <w:name w:val="List Dash 2 (Level 2)"/>
    <w:basedOn w:val="Text2"/>
  </w:style>
  <w:style w:type="paragraph" w:customStyle="1" w:styleId="ListDash2Level3">
    <w:name w:val="List Dash 2 (Level 3)"/>
    <w:basedOn w:val="Text2"/>
  </w:style>
  <w:style w:type="paragraph" w:customStyle="1" w:styleId="ListDash2Level4">
    <w:name w:val="List Dash 2 (Level 4)"/>
    <w:basedOn w:val="Text2"/>
    <w:pPr>
      <w:numPr>
        <w:numId w:val="11"/>
      </w:numPr>
    </w:pPr>
  </w:style>
  <w:style w:type="paragraph" w:customStyle="1" w:styleId="ListDash3">
    <w:name w:val="List Dash 3"/>
    <w:basedOn w:val="Text3"/>
  </w:style>
  <w:style w:type="paragraph" w:customStyle="1" w:styleId="ListDash3Level2">
    <w:name w:val="List Dash 3 (Level 2)"/>
    <w:basedOn w:val="Text3"/>
  </w:style>
  <w:style w:type="paragraph" w:customStyle="1" w:styleId="ListDash3Level3">
    <w:name w:val="List Dash 3 (Level 3)"/>
    <w:basedOn w:val="Text3"/>
  </w:style>
  <w:style w:type="paragraph" w:customStyle="1" w:styleId="ListDash3Level4">
    <w:name w:val="List Dash 3 (Level 4)"/>
    <w:basedOn w:val="Text3"/>
    <w:pPr>
      <w:numPr>
        <w:numId w:val="10"/>
      </w:numPr>
    </w:pPr>
  </w:style>
  <w:style w:type="paragraph" w:customStyle="1" w:styleId="ListDash4">
    <w:name w:val="List Dash 4"/>
    <w:basedOn w:val="Text4"/>
  </w:style>
  <w:style w:type="paragraph" w:customStyle="1" w:styleId="ListDash4Level2">
    <w:name w:val="List Dash 4 (Level 2)"/>
    <w:basedOn w:val="Text4"/>
  </w:style>
  <w:style w:type="paragraph" w:customStyle="1" w:styleId="ListDash4Level3">
    <w:name w:val="List Dash 4 (Level 3)"/>
    <w:basedOn w:val="Text4"/>
  </w:style>
  <w:style w:type="paragraph" w:customStyle="1" w:styleId="ListDash4Level4">
    <w:name w:val="List Dash 4 (Level 4)"/>
    <w:basedOn w:val="Text4"/>
    <w:pPr>
      <w:numPr>
        <w:numId w:val="9"/>
      </w:numPr>
    </w:pPr>
  </w:style>
  <w:style w:type="paragraph" w:customStyle="1" w:styleId="Numbering1">
    <w:name w:val="Numbering 1"/>
    <w:basedOn w:val="Standard"/>
  </w:style>
  <w:style w:type="paragraph" w:customStyle="1" w:styleId="ListNumberLevel2">
    <w:name w:val="List Number (Level 2)"/>
    <w:basedOn w:val="Standard"/>
  </w:style>
  <w:style w:type="paragraph" w:customStyle="1" w:styleId="ListNumberLevel3">
    <w:name w:val="List Number (Level 3)"/>
    <w:basedOn w:val="Standard"/>
  </w:style>
  <w:style w:type="paragraph" w:customStyle="1" w:styleId="ListNumberLevel4">
    <w:name w:val="List Number (Level 4)"/>
    <w:basedOn w:val="Standard"/>
    <w:pPr>
      <w:numPr>
        <w:numId w:val="18"/>
      </w:numPr>
    </w:pPr>
  </w:style>
  <w:style w:type="paragraph" w:customStyle="1" w:styleId="ListNumber1">
    <w:name w:val="List Number 1"/>
    <w:basedOn w:val="Text1"/>
  </w:style>
  <w:style w:type="paragraph" w:customStyle="1" w:styleId="ListNumber1Level2">
    <w:name w:val="List Number 1 (Level 2)"/>
    <w:basedOn w:val="Text1"/>
  </w:style>
  <w:style w:type="paragraph" w:customStyle="1" w:styleId="ListNumber1Level3">
    <w:name w:val="List Number 1 (Level 3)"/>
    <w:basedOn w:val="Text1"/>
  </w:style>
  <w:style w:type="paragraph" w:customStyle="1" w:styleId="ListNumber1Level4">
    <w:name w:val="List Number 1 (Level 4)"/>
    <w:basedOn w:val="Text1"/>
    <w:pPr>
      <w:numPr>
        <w:numId w:val="17"/>
      </w:numPr>
    </w:pPr>
  </w:style>
  <w:style w:type="paragraph" w:customStyle="1" w:styleId="Numbering2">
    <w:name w:val="Numbering 2"/>
    <w:basedOn w:val="Text2"/>
  </w:style>
  <w:style w:type="paragraph" w:customStyle="1" w:styleId="ListNumber2Level2">
    <w:name w:val="List Number 2 (Level 2)"/>
    <w:basedOn w:val="Text2"/>
  </w:style>
  <w:style w:type="paragraph" w:customStyle="1" w:styleId="ListNumber2Level3">
    <w:name w:val="List Number 2 (Level 3)"/>
    <w:basedOn w:val="Text2"/>
  </w:style>
  <w:style w:type="paragraph" w:customStyle="1" w:styleId="ListNumber2Level4">
    <w:name w:val="List Number 2 (Level 4)"/>
    <w:basedOn w:val="Text2"/>
    <w:pPr>
      <w:numPr>
        <w:numId w:val="16"/>
      </w:numPr>
    </w:pPr>
  </w:style>
  <w:style w:type="paragraph" w:customStyle="1" w:styleId="Numbering3">
    <w:name w:val="Numbering 3"/>
    <w:basedOn w:val="Text3"/>
  </w:style>
  <w:style w:type="paragraph" w:customStyle="1" w:styleId="ListNumber3Level2">
    <w:name w:val="List Number 3 (Level 2)"/>
    <w:basedOn w:val="Text3"/>
  </w:style>
  <w:style w:type="paragraph" w:customStyle="1" w:styleId="ListNumber3Level3">
    <w:name w:val="List Number 3 (Level 3)"/>
    <w:basedOn w:val="Text3"/>
  </w:style>
  <w:style w:type="paragraph" w:customStyle="1" w:styleId="ListNumber3Level4">
    <w:name w:val="List Number 3 (Level 4)"/>
    <w:basedOn w:val="Text3"/>
    <w:pPr>
      <w:numPr>
        <w:numId w:val="15"/>
      </w:numPr>
    </w:pPr>
  </w:style>
  <w:style w:type="paragraph" w:customStyle="1" w:styleId="Numbering4">
    <w:name w:val="Numbering 4"/>
    <w:basedOn w:val="Text4"/>
  </w:style>
  <w:style w:type="paragraph" w:customStyle="1" w:styleId="ListNumber4Level2">
    <w:name w:val="List Number 4 (Level 2)"/>
    <w:basedOn w:val="Text4"/>
  </w:style>
  <w:style w:type="paragraph" w:customStyle="1" w:styleId="ListNumber4Level3">
    <w:name w:val="List Number 4 (Level 3)"/>
    <w:basedOn w:val="Text4"/>
  </w:style>
  <w:style w:type="paragraph" w:customStyle="1" w:styleId="ListNumber4Level4">
    <w:name w:val="List Number 4 (Level 4)"/>
    <w:basedOn w:val="Text4"/>
    <w:pPr>
      <w:numPr>
        <w:numId w:val="14"/>
      </w:numPr>
    </w:pPr>
  </w:style>
  <w:style w:type="paragraph" w:styleId="Textmakra">
    <w:name w:val="macro"/>
    <w:basedOn w:val="Standard"/>
    <w:pPr>
      <w:tabs>
        <w:tab w:val="left" w:pos="482"/>
        <w:tab w:val="left" w:pos="958"/>
        <w:tab w:val="left" w:pos="1440"/>
        <w:tab w:val="left" w:pos="1922"/>
        <w:tab w:val="left" w:pos="2398"/>
        <w:tab w:val="left" w:pos="2880"/>
        <w:tab w:val="left" w:pos="3362"/>
        <w:tab w:val="left" w:pos="3838"/>
        <w:tab w:val="left" w:pos="4320"/>
      </w:tabs>
    </w:pPr>
    <w:rPr>
      <w:rFonts w:ascii="Courier New" w:eastAsia="Courier New" w:hAnsi="Courier New" w:cs="Courier New"/>
      <w:sz w:val="22"/>
    </w:rPr>
  </w:style>
  <w:style w:type="paragraph" w:customStyle="1" w:styleId="Marking">
    <w:name w:val="Marking"/>
    <w:basedOn w:val="Standard"/>
    <w:pPr>
      <w:spacing w:after="0"/>
      <w:ind w:left="5102" w:right="-680"/>
      <w:contextualSpacing/>
      <w:jc w:val="left"/>
    </w:pPr>
    <w:rPr>
      <w:sz w:val="28"/>
      <w:lang w:val="en-IE"/>
    </w:rPr>
  </w:style>
  <w:style w:type="paragraph" w:customStyle="1" w:styleId="NoteAddressee">
    <w:name w:val="NoteAddressee"/>
    <w:basedOn w:val="Standard"/>
    <w:pPr>
      <w:spacing w:after="720"/>
      <w:contextualSpacing/>
      <w:jc w:val="center"/>
    </w:pPr>
    <w:rPr>
      <w:b/>
      <w:smallCaps/>
    </w:rPr>
  </w:style>
  <w:style w:type="paragraph" w:customStyle="1" w:styleId="NoteColumn">
    <w:name w:val="NoteColumn"/>
    <w:basedOn w:val="Standard"/>
    <w:pPr>
      <w:tabs>
        <w:tab w:val="left" w:pos="1530"/>
        <w:tab w:val="left" w:pos="2250"/>
        <w:tab w:val="left" w:pos="5782"/>
        <w:tab w:val="left" w:pos="6502"/>
      </w:tabs>
      <w:spacing w:after="720"/>
      <w:ind w:left="680"/>
      <w:jc w:val="left"/>
    </w:pPr>
    <w:rPr>
      <w:b/>
      <w:smallCaps/>
    </w:rPr>
  </w:style>
  <w:style w:type="paragraph" w:customStyle="1" w:styleId="NoteHead">
    <w:name w:val="NoteHead"/>
    <w:basedOn w:val="Standard"/>
    <w:pPr>
      <w:spacing w:before="720" w:after="720"/>
      <w:contextualSpacing/>
      <w:jc w:val="center"/>
    </w:pPr>
    <w:rPr>
      <w:b/>
      <w:smallCaps/>
    </w:rPr>
  </w:style>
  <w:style w:type="paragraph" w:customStyle="1" w:styleId="NoteList">
    <w:name w:val="NoteList"/>
    <w:basedOn w:val="Standard"/>
    <w:pPr>
      <w:tabs>
        <w:tab w:val="left" w:pos="10924"/>
      </w:tabs>
      <w:spacing w:before="720" w:after="720"/>
      <w:ind w:left="5102" w:hanging="3118"/>
      <w:contextualSpacing/>
      <w:jc w:val="left"/>
    </w:pPr>
    <w:rPr>
      <w:b/>
      <w:smallCaps/>
    </w:rPr>
  </w:style>
  <w:style w:type="paragraph" w:customStyle="1" w:styleId="NoteTitle">
    <w:name w:val="NoteTitle"/>
    <w:basedOn w:val="Standard"/>
    <w:pPr>
      <w:spacing w:before="720" w:after="360"/>
      <w:contextualSpacing/>
      <w:jc w:val="center"/>
    </w:pPr>
    <w:rPr>
      <w:b/>
      <w:smallCaps/>
    </w:rPr>
  </w:style>
  <w:style w:type="paragraph" w:customStyle="1" w:styleId="NumPar1">
    <w:name w:val="NumPar 1"/>
    <w:basedOn w:val="Nadpis1"/>
    <w:pPr>
      <w:keepNext w:val="0"/>
      <w:numPr>
        <w:numId w:val="0"/>
      </w:numPr>
      <w:spacing w:before="0"/>
    </w:pPr>
    <w:rPr>
      <w:b w:val="0"/>
      <w:smallCaps w:val="0"/>
    </w:rPr>
  </w:style>
  <w:style w:type="paragraph" w:customStyle="1" w:styleId="NumPar2">
    <w:name w:val="NumPar 2"/>
    <w:basedOn w:val="Nadpis2"/>
    <w:pPr>
      <w:keepNext w:val="0"/>
      <w:numPr>
        <w:ilvl w:val="0"/>
        <w:numId w:val="0"/>
      </w:numPr>
    </w:pPr>
    <w:rPr>
      <w:b w:val="0"/>
    </w:rPr>
  </w:style>
  <w:style w:type="paragraph" w:customStyle="1" w:styleId="NumPar3">
    <w:name w:val="NumPar 3"/>
    <w:basedOn w:val="Nadpis3"/>
    <w:pPr>
      <w:keepNext w:val="0"/>
      <w:numPr>
        <w:ilvl w:val="0"/>
        <w:numId w:val="0"/>
      </w:numPr>
    </w:pPr>
    <w:rPr>
      <w:i w:val="0"/>
    </w:rPr>
  </w:style>
  <w:style w:type="paragraph" w:customStyle="1" w:styleId="NumPar4">
    <w:name w:val="NumPar 4"/>
    <w:basedOn w:val="Nadpis4"/>
    <w:pPr>
      <w:keepNext w:val="0"/>
      <w:numPr>
        <w:ilvl w:val="0"/>
        <w:numId w:val="0"/>
      </w:numPr>
    </w:pPr>
  </w:style>
  <w:style w:type="paragraph" w:customStyle="1" w:styleId="Participants">
    <w:name w:val="Participants"/>
    <w:basedOn w:val="Standard"/>
    <w:pPr>
      <w:tabs>
        <w:tab w:val="left" w:pos="4082"/>
        <w:tab w:val="left" w:pos="4366"/>
        <w:tab w:val="left" w:pos="7200"/>
        <w:tab w:val="left" w:pos="7909"/>
        <w:tab w:val="left" w:pos="8334"/>
      </w:tabs>
      <w:spacing w:before="480" w:after="0"/>
      <w:ind w:left="1531" w:hanging="1531"/>
      <w:contextualSpacing/>
      <w:jc w:val="left"/>
    </w:pPr>
  </w:style>
  <w:style w:type="paragraph" w:customStyle="1" w:styleId="References">
    <w:name w:val="References"/>
    <w:basedOn w:val="Standard"/>
    <w:pPr>
      <w:spacing w:after="0"/>
      <w:ind w:left="5102" w:right="-567"/>
      <w:contextualSpacing/>
      <w:jc w:val="left"/>
    </w:pPr>
    <w:rPr>
      <w:sz w:val="20"/>
    </w:rPr>
  </w:style>
  <w:style w:type="paragraph" w:customStyle="1" w:styleId="Releasable">
    <w:name w:val="Releasable"/>
    <w:basedOn w:val="Standard"/>
    <w:pPr>
      <w:spacing w:after="0"/>
      <w:jc w:val="center"/>
    </w:pPr>
    <w:rPr>
      <w:b/>
      <w:caps/>
      <w:sz w:val="32"/>
    </w:rPr>
  </w:style>
  <w:style w:type="paragraph" w:customStyle="1" w:styleId="RUE">
    <w:name w:val="RUE"/>
    <w:basedOn w:val="Standard"/>
    <w:pPr>
      <w:spacing w:after="0"/>
      <w:jc w:val="center"/>
    </w:pPr>
    <w:rPr>
      <w:b/>
      <w:caps/>
      <w:sz w:val="32"/>
    </w:rPr>
  </w:style>
  <w:style w:type="paragraph" w:customStyle="1" w:styleId="SecretUE">
    <w:name w:val="Secret UE"/>
    <w:basedOn w:val="Standard"/>
    <w:pPr>
      <w:spacing w:after="0"/>
      <w:jc w:val="center"/>
    </w:pPr>
    <w:rPr>
      <w:b/>
      <w:caps/>
      <w:color w:val="FF0000"/>
      <w:sz w:val="32"/>
    </w:rPr>
  </w:style>
  <w:style w:type="paragraph" w:styleId="Podpis">
    <w:name w:val="Signature"/>
    <w:basedOn w:val="Standard"/>
    <w:pPr>
      <w:spacing w:before="1200" w:after="0"/>
      <w:ind w:left="5102"/>
      <w:jc w:val="center"/>
    </w:pPr>
  </w:style>
  <w:style w:type="paragraph" w:customStyle="1" w:styleId="SignatureL">
    <w:name w:val="SignatureL"/>
    <w:basedOn w:val="Standard"/>
    <w:pPr>
      <w:spacing w:before="1200" w:after="0"/>
      <w:jc w:val="left"/>
    </w:pPr>
  </w:style>
  <w:style w:type="paragraph" w:customStyle="1" w:styleId="Subject">
    <w:name w:val="Subject"/>
    <w:basedOn w:val="Standard"/>
    <w:pPr>
      <w:spacing w:after="480"/>
      <w:ind w:left="1191" w:hanging="1191"/>
      <w:contextualSpacing/>
      <w:jc w:val="left"/>
    </w:pPr>
    <w:rPr>
      <w:b/>
    </w:rPr>
  </w:style>
  <w:style w:type="paragraph" w:customStyle="1" w:styleId="TableListBullet">
    <w:name w:val="Table List Bullet"/>
    <w:basedOn w:val="TableText"/>
  </w:style>
  <w:style w:type="paragraph" w:customStyle="1" w:styleId="TableListBulletLevel2">
    <w:name w:val="Table List Bullet (Level 2)"/>
    <w:basedOn w:val="TableText"/>
  </w:style>
  <w:style w:type="paragraph" w:customStyle="1" w:styleId="TableListBulletLevel3">
    <w:name w:val="Table List Bullet (Level 3)"/>
    <w:basedOn w:val="TableText"/>
  </w:style>
  <w:style w:type="paragraph" w:customStyle="1" w:styleId="TableListBulletLevel4">
    <w:name w:val="Table List Bullet (Level 4)"/>
    <w:basedOn w:val="TableText"/>
    <w:pPr>
      <w:numPr>
        <w:numId w:val="27"/>
      </w:numPr>
    </w:pPr>
  </w:style>
  <w:style w:type="paragraph" w:customStyle="1" w:styleId="TableListDash">
    <w:name w:val="Table List Dash"/>
    <w:basedOn w:val="TableText"/>
  </w:style>
  <w:style w:type="paragraph" w:customStyle="1" w:styleId="TableListDashLevel2">
    <w:name w:val="Table List Dash (Level 2)"/>
    <w:basedOn w:val="TableText"/>
  </w:style>
  <w:style w:type="paragraph" w:customStyle="1" w:styleId="TableListDashLevel3">
    <w:name w:val="Table List Dash (Level 3)"/>
    <w:basedOn w:val="TableText"/>
  </w:style>
  <w:style w:type="paragraph" w:customStyle="1" w:styleId="TableListDashLevel4">
    <w:name w:val="Table List Dash (Level 4)"/>
    <w:basedOn w:val="TableText"/>
    <w:pPr>
      <w:numPr>
        <w:numId w:val="28"/>
      </w:numPr>
    </w:pPr>
  </w:style>
  <w:style w:type="paragraph" w:customStyle="1" w:styleId="TableListNumber">
    <w:name w:val="Table List Number"/>
    <w:basedOn w:val="TableText"/>
  </w:style>
  <w:style w:type="paragraph" w:customStyle="1" w:styleId="TableListNumberLevel2">
    <w:name w:val="Table List Number (Level 2)"/>
    <w:basedOn w:val="TableText"/>
  </w:style>
  <w:style w:type="paragraph" w:customStyle="1" w:styleId="TableListNumberLevel3">
    <w:name w:val="Table List Number (Level 3)"/>
    <w:basedOn w:val="TableText"/>
  </w:style>
  <w:style w:type="paragraph" w:customStyle="1" w:styleId="TableListNumberLevel4">
    <w:name w:val="Table List Number (Level 4)"/>
    <w:basedOn w:val="TableText"/>
    <w:pPr>
      <w:numPr>
        <w:numId w:val="29"/>
      </w:numPr>
    </w:pPr>
  </w:style>
  <w:style w:type="paragraph" w:customStyle="1" w:styleId="TableSource">
    <w:name w:val="Table Source"/>
    <w:basedOn w:val="Standard"/>
    <w:next w:val="Standard"/>
    <w:rPr>
      <w:sz w:val="20"/>
    </w:rPr>
  </w:style>
  <w:style w:type="paragraph" w:customStyle="1" w:styleId="TableSource1">
    <w:name w:val="Table Source 1"/>
    <w:basedOn w:val="Text1"/>
    <w:next w:val="Text1"/>
    <w:rPr>
      <w:sz w:val="20"/>
    </w:rPr>
  </w:style>
  <w:style w:type="paragraph" w:customStyle="1" w:styleId="TableSource2">
    <w:name w:val="Table Source 2"/>
    <w:basedOn w:val="Text2"/>
    <w:next w:val="Text2"/>
    <w:rPr>
      <w:sz w:val="20"/>
    </w:rPr>
  </w:style>
  <w:style w:type="paragraph" w:customStyle="1" w:styleId="TableSource3">
    <w:name w:val="Table Source 3"/>
    <w:basedOn w:val="Text3"/>
    <w:next w:val="Text3"/>
    <w:rPr>
      <w:sz w:val="20"/>
    </w:rPr>
  </w:style>
  <w:style w:type="paragraph" w:customStyle="1" w:styleId="TableSource4">
    <w:name w:val="Table Source 4"/>
    <w:basedOn w:val="Text4"/>
    <w:next w:val="Text4"/>
    <w:rPr>
      <w:sz w:val="20"/>
    </w:rPr>
  </w:style>
  <w:style w:type="paragraph" w:customStyle="1" w:styleId="TableText">
    <w:name w:val="Table Text"/>
    <w:basedOn w:val="Standard"/>
    <w:pPr>
      <w:spacing w:before="60" w:after="60"/>
      <w:jc w:val="left"/>
    </w:pPr>
  </w:style>
  <w:style w:type="paragraph" w:customStyle="1" w:styleId="TableTitle">
    <w:name w:val="Table Title"/>
    <w:basedOn w:val="Standard"/>
    <w:pPr>
      <w:keepNext/>
      <w:spacing w:after="120"/>
    </w:pPr>
    <w:rPr>
      <w:b/>
      <w:i/>
    </w:rPr>
  </w:style>
  <w:style w:type="paragraph" w:customStyle="1" w:styleId="TableTitle1">
    <w:name w:val="Table Title 1"/>
    <w:basedOn w:val="Text1"/>
    <w:pPr>
      <w:keepNext/>
      <w:spacing w:after="120"/>
    </w:pPr>
    <w:rPr>
      <w:b/>
      <w:i/>
    </w:rPr>
  </w:style>
  <w:style w:type="paragraph" w:customStyle="1" w:styleId="TableTitle2">
    <w:name w:val="Table Title 2"/>
    <w:basedOn w:val="Text2"/>
    <w:pPr>
      <w:keepNext/>
      <w:spacing w:after="120"/>
    </w:pPr>
    <w:rPr>
      <w:b/>
      <w:i/>
    </w:rPr>
  </w:style>
  <w:style w:type="paragraph" w:customStyle="1" w:styleId="TableTitle3">
    <w:name w:val="Table Title 3"/>
    <w:basedOn w:val="Text3"/>
    <w:pPr>
      <w:keepNext/>
      <w:spacing w:after="120"/>
    </w:pPr>
    <w:rPr>
      <w:b/>
      <w:i/>
    </w:rPr>
  </w:style>
  <w:style w:type="paragraph" w:customStyle="1" w:styleId="TableTitle4">
    <w:name w:val="Table Title 4"/>
    <w:basedOn w:val="Text4"/>
    <w:pPr>
      <w:keepNext/>
      <w:spacing w:after="120"/>
    </w:pPr>
    <w:rPr>
      <w:b/>
      <w:i/>
    </w:rPr>
  </w:style>
  <w:style w:type="paragraph" w:customStyle="1" w:styleId="Text1">
    <w:name w:val="Text 1"/>
    <w:basedOn w:val="Standard"/>
    <w:pPr>
      <w:ind w:left="482"/>
    </w:pPr>
  </w:style>
  <w:style w:type="paragraph" w:customStyle="1" w:styleId="Text2">
    <w:name w:val="Text 2"/>
    <w:basedOn w:val="Standard"/>
    <w:qFormat/>
    <w:pPr>
      <w:ind w:left="1077"/>
    </w:pPr>
  </w:style>
  <w:style w:type="paragraph" w:customStyle="1" w:styleId="Text3">
    <w:name w:val="Text 3"/>
    <w:basedOn w:val="Standard"/>
    <w:pPr>
      <w:ind w:left="1916"/>
    </w:pPr>
  </w:style>
  <w:style w:type="paragraph" w:customStyle="1" w:styleId="Text4">
    <w:name w:val="Text 4"/>
    <w:basedOn w:val="Standard"/>
    <w:pPr>
      <w:ind w:left="2880"/>
    </w:pPr>
  </w:style>
  <w:style w:type="paragraph" w:customStyle="1" w:styleId="Contents1">
    <w:name w:val="Contents 1"/>
    <w:basedOn w:val="Standard"/>
    <w:next w:val="Standard"/>
    <w:pPr>
      <w:tabs>
        <w:tab w:val="right" w:leader="dot" w:pos="9122"/>
      </w:tabs>
      <w:spacing w:before="120" w:after="120"/>
      <w:ind w:left="482" w:right="720" w:hanging="482"/>
    </w:pPr>
  </w:style>
  <w:style w:type="paragraph" w:customStyle="1" w:styleId="Contents2">
    <w:name w:val="Contents 2"/>
    <w:basedOn w:val="Standard"/>
    <w:next w:val="Standard"/>
    <w:pPr>
      <w:tabs>
        <w:tab w:val="right" w:leader="dot" w:pos="9717"/>
      </w:tabs>
      <w:spacing w:before="60" w:after="60"/>
      <w:ind w:left="1077" w:right="720" w:hanging="595"/>
    </w:pPr>
  </w:style>
  <w:style w:type="paragraph" w:customStyle="1" w:styleId="Contents3">
    <w:name w:val="Contents 3"/>
    <w:basedOn w:val="Standard"/>
    <w:next w:val="Standard"/>
    <w:pPr>
      <w:tabs>
        <w:tab w:val="right" w:leader="dot" w:pos="10556"/>
      </w:tabs>
      <w:spacing w:before="60" w:after="60"/>
      <w:ind w:left="1916" w:right="720" w:hanging="839"/>
    </w:pPr>
  </w:style>
  <w:style w:type="paragraph" w:customStyle="1" w:styleId="Contents4">
    <w:name w:val="Contents 4"/>
    <w:basedOn w:val="Standard"/>
    <w:next w:val="Standard"/>
    <w:pPr>
      <w:tabs>
        <w:tab w:val="right" w:leader="dot" w:pos="11520"/>
      </w:tabs>
      <w:spacing w:before="60" w:after="60"/>
      <w:ind w:left="2880" w:right="720" w:hanging="964"/>
    </w:pPr>
  </w:style>
  <w:style w:type="paragraph" w:customStyle="1" w:styleId="Contents5">
    <w:name w:val="Contents 5"/>
    <w:basedOn w:val="Standard"/>
    <w:next w:val="Standard"/>
    <w:pPr>
      <w:tabs>
        <w:tab w:val="right" w:leader="dot" w:pos="8640"/>
      </w:tabs>
      <w:spacing w:before="240" w:after="120"/>
      <w:ind w:right="720"/>
    </w:pPr>
    <w:rPr>
      <w:caps/>
    </w:rPr>
  </w:style>
  <w:style w:type="paragraph" w:customStyle="1" w:styleId="Contents6">
    <w:name w:val="Contents 6"/>
    <w:basedOn w:val="Standard"/>
    <w:next w:val="Standard"/>
    <w:pPr>
      <w:tabs>
        <w:tab w:val="left" w:pos="4796"/>
        <w:tab w:val="right" w:leader="dot" w:pos="10556"/>
      </w:tabs>
      <w:spacing w:before="120" w:after="120"/>
      <w:ind w:left="1916" w:right="720" w:hanging="1916"/>
    </w:pPr>
    <w:rPr>
      <w:caps/>
    </w:rPr>
  </w:style>
  <w:style w:type="paragraph" w:customStyle="1" w:styleId="Contents7">
    <w:name w:val="Contents 7"/>
    <w:basedOn w:val="Standard"/>
    <w:next w:val="Standard"/>
    <w:pPr>
      <w:tabs>
        <w:tab w:val="left" w:pos="6565"/>
      </w:tabs>
      <w:spacing w:after="0"/>
      <w:ind w:left="2880" w:hanging="1349"/>
    </w:pPr>
  </w:style>
  <w:style w:type="paragraph" w:customStyle="1" w:styleId="Contents8">
    <w:name w:val="Contents 8"/>
    <w:basedOn w:val="Standard"/>
    <w:next w:val="Standard"/>
    <w:pPr>
      <w:tabs>
        <w:tab w:val="right" w:leader="dot" w:pos="8640"/>
      </w:tabs>
    </w:pPr>
  </w:style>
  <w:style w:type="paragraph" w:customStyle="1" w:styleId="Contents9">
    <w:name w:val="Contents 9"/>
    <w:basedOn w:val="Standard"/>
    <w:next w:val="Standard"/>
    <w:pPr>
      <w:tabs>
        <w:tab w:val="right" w:leader="dot" w:pos="8640"/>
      </w:tabs>
    </w:pPr>
  </w:style>
  <w:style w:type="paragraph" w:styleId="Nadpisregistra">
    <w:name w:val="index heading"/>
    <w:basedOn w:val="Heading"/>
    <w:pPr>
      <w:suppressLineNumbers/>
    </w:pPr>
    <w:rPr>
      <w:bCs/>
      <w:sz w:val="32"/>
      <w:szCs w:val="32"/>
    </w:rPr>
  </w:style>
  <w:style w:type="paragraph" w:customStyle="1" w:styleId="ContentsHeading">
    <w:name w:val="Contents Heading"/>
    <w:basedOn w:val="Standard"/>
    <w:next w:val="Standard"/>
    <w:pPr>
      <w:spacing w:before="240" w:after="0"/>
      <w:jc w:val="center"/>
    </w:pPr>
    <w:rPr>
      <w:rFonts w:ascii="Times New Roman Bold" w:eastAsia="Times New Roman Bold" w:hAnsi="Times New Roman Bold" w:cs="Times New Roman Bold"/>
      <w:b/>
      <w:caps/>
    </w:rPr>
  </w:style>
  <w:style w:type="paragraph" w:customStyle="1" w:styleId="TrsSecretUE">
    <w:name w:val="Très Secret UE"/>
    <w:basedOn w:val="Standard"/>
    <w:pPr>
      <w:spacing w:after="0"/>
      <w:jc w:val="center"/>
    </w:pPr>
    <w:rPr>
      <w:b/>
      <w:caps/>
      <w:color w:val="FF0000"/>
      <w:sz w:val="32"/>
    </w:rPr>
  </w:style>
  <w:style w:type="paragraph" w:customStyle="1" w:styleId="YReferences">
    <w:name w:val="YReferences"/>
    <w:basedOn w:val="Standard"/>
    <w:pPr>
      <w:spacing w:after="480"/>
      <w:ind w:left="1191" w:hanging="1191"/>
      <w:contextualSpacing/>
    </w:pPr>
  </w:style>
  <w:style w:type="paragraph" w:customStyle="1" w:styleId="ZCom">
    <w:name w:val="Z_Com"/>
    <w:basedOn w:val="Standard"/>
    <w:next w:val="Standard"/>
    <w:pPr>
      <w:widowControl w:val="0"/>
      <w:spacing w:before="90" w:after="0"/>
      <w:ind w:right="85"/>
      <w:jc w:val="left"/>
    </w:pPr>
  </w:style>
  <w:style w:type="paragraph" w:customStyle="1" w:styleId="ZDGName">
    <w:name w:val="Z_DGName"/>
    <w:basedOn w:val="Standard"/>
    <w:pPr>
      <w:widowControl w:val="0"/>
      <w:spacing w:after="0"/>
      <w:ind w:right="85"/>
      <w:jc w:val="left"/>
    </w:pPr>
    <w:rPr>
      <w:sz w:val="16"/>
    </w:rPr>
  </w:style>
  <w:style w:type="paragraph" w:customStyle="1" w:styleId="ZFlag">
    <w:name w:val="Z_Flag"/>
    <w:basedOn w:val="Standard"/>
    <w:next w:val="Standard"/>
    <w:pPr>
      <w:widowControl w:val="0"/>
      <w:spacing w:after="0"/>
      <w:ind w:right="85"/>
    </w:pPr>
  </w:style>
  <w:style w:type="paragraph" w:styleId="Hlavika">
    <w:name w:val="header"/>
    <w:basedOn w:val="Standard"/>
    <w:pPr>
      <w:tabs>
        <w:tab w:val="center" w:pos="4150"/>
        <w:tab w:val="right" w:pos="8306"/>
      </w:tabs>
      <w:spacing w:after="0"/>
    </w:pPr>
  </w:style>
  <w:style w:type="paragraph" w:styleId="Zoznam5">
    <w:name w:val="List 5"/>
    <w:basedOn w:val="Standard"/>
    <w:pPr>
      <w:numPr>
        <w:numId w:val="30"/>
      </w:numPr>
      <w:spacing w:after="0"/>
      <w:contextualSpacing/>
    </w:pPr>
  </w:style>
  <w:style w:type="paragraph" w:customStyle="1" w:styleId="Numbering5">
    <w:name w:val="Numbering 5"/>
    <w:basedOn w:val="Standard"/>
    <w:pPr>
      <w:numPr>
        <w:numId w:val="31"/>
      </w:numPr>
      <w:spacing w:after="0"/>
      <w:contextualSpacing/>
    </w:pPr>
  </w:style>
  <w:style w:type="paragraph" w:styleId="Odsekzoznamu">
    <w:name w:val="List Paragraph"/>
    <w:basedOn w:val="Standard"/>
    <w:uiPriority w:val="34"/>
    <w:qFormat/>
    <w:pPr>
      <w:spacing w:after="0"/>
      <w:ind w:left="720"/>
      <w:contextualSpacing/>
    </w:pPr>
  </w:style>
  <w:style w:type="paragraph" w:styleId="Revzia">
    <w:name w:val="Revision"/>
    <w:pPr>
      <w:widowControl/>
      <w:suppressAutoHyphens/>
    </w:pPr>
  </w:style>
  <w:style w:type="paragraph" w:customStyle="1" w:styleId="Marginalia">
    <w:name w:val="Marginalia"/>
    <w:basedOn w:val="Standard"/>
    <w:rPr>
      <w:sz w:val="20"/>
    </w:rPr>
  </w:style>
  <w:style w:type="paragraph" w:styleId="Predmetkomentra">
    <w:name w:val="annotation subject"/>
    <w:basedOn w:val="Marginalia"/>
    <w:next w:val="Marginalia"/>
    <w:rPr>
      <w:b/>
      <w:bCs/>
    </w:rPr>
  </w:style>
  <w:style w:type="paragraph" w:customStyle="1" w:styleId="Comment">
    <w:name w:val="Comment"/>
    <w:basedOn w:val="Normlny"/>
    <w:rPr>
      <w:sz w:val="20"/>
    </w:rPr>
  </w:style>
  <w:style w:type="paragraph" w:customStyle="1" w:styleId="TableContents">
    <w:name w:val="Table Contents"/>
    <w:basedOn w:val="Standard"/>
    <w:pPr>
      <w:widowControl w:val="0"/>
      <w:suppressLineNumbers/>
    </w:pPr>
  </w:style>
  <w:style w:type="character" w:customStyle="1" w:styleId="BodyPlaceholderText">
    <w:name w:val="BodyPlaceholderText"/>
    <w:basedOn w:val="Zstupntext"/>
    <w:rPr>
      <w:vanish w:val="0"/>
      <w:color w:val="3366CC"/>
    </w:rPr>
  </w:style>
  <w:style w:type="character" w:customStyle="1" w:styleId="CrossReference">
    <w:name w:val="Cross Reference"/>
    <w:basedOn w:val="Predvolenpsmoodseku"/>
    <w:rPr>
      <w:i/>
    </w:rPr>
  </w:style>
  <w:style w:type="character" w:customStyle="1" w:styleId="InstructionBlue">
    <w:name w:val="InstructionBlue"/>
    <w:rPr>
      <w:i/>
      <w:color w:val="3366CC"/>
    </w:rPr>
  </w:style>
  <w:style w:type="character" w:customStyle="1" w:styleId="InstructionPlaceholder">
    <w:name w:val="InstructionPlaceholder"/>
    <w:rPr>
      <w:color w:val="CB3535"/>
    </w:rPr>
  </w:style>
  <w:style w:type="character" w:customStyle="1" w:styleId="InstructionRed">
    <w:name w:val="InstructionRed"/>
    <w:rPr>
      <w:i/>
      <w:color w:val="CB3535"/>
    </w:rPr>
  </w:style>
  <w:style w:type="character" w:customStyle="1" w:styleId="MarkingLabel">
    <w:name w:val="MarkingLabel"/>
    <w:rPr>
      <w:b/>
      <w:caps/>
      <w:sz w:val="28"/>
    </w:rPr>
  </w:style>
  <w:style w:type="character" w:customStyle="1" w:styleId="MarkingText">
    <w:name w:val="MarkingText"/>
    <w:rPr>
      <w:i/>
      <w:sz w:val="28"/>
    </w:rPr>
  </w:style>
  <w:style w:type="character" w:styleId="Zstupntext">
    <w:name w:val="Placeholder Text"/>
    <w:basedOn w:val="Predvolenpsmoodseku"/>
    <w:rPr>
      <w:vanish w:val="0"/>
      <w:color w:val="288061"/>
    </w:rPr>
  </w:style>
  <w:style w:type="character" w:customStyle="1" w:styleId="En-tteCar">
    <w:name w:val="En-tête Car"/>
    <w:basedOn w:val="Predvolenpsmoodseku"/>
    <w:rPr>
      <w:sz w:val="24"/>
    </w:rPr>
  </w:style>
  <w:style w:type="character" w:customStyle="1" w:styleId="InternetLink">
    <w:name w:val="Internet Link"/>
    <w:basedOn w:val="Predvolenpsmoodseku"/>
    <w:rPr>
      <w:color w:val="0563C1"/>
      <w:u w:val="single"/>
    </w:rPr>
  </w:style>
  <w:style w:type="character" w:customStyle="1" w:styleId="Mentionnonrsolue1">
    <w:name w:val="Mention non résolue1"/>
    <w:basedOn w:val="Predvolenpsmoodseku"/>
    <w:rPr>
      <w:color w:val="605E5C"/>
      <w:shd w:val="clear" w:color="auto" w:fill="E1DFDD"/>
    </w:rPr>
  </w:style>
  <w:style w:type="character" w:styleId="Odkaznakomentr">
    <w:name w:val="annotation reference"/>
    <w:basedOn w:val="Predvolenpsmoodseku"/>
    <w:rPr>
      <w:sz w:val="16"/>
      <w:szCs w:val="16"/>
    </w:rPr>
  </w:style>
  <w:style w:type="character" w:customStyle="1" w:styleId="CommentaireCar">
    <w:name w:val="Commentaire Car"/>
    <w:basedOn w:val="Predvolenpsmoodseku"/>
    <w:uiPriority w:val="99"/>
    <w:rPr>
      <w:sz w:val="20"/>
    </w:rPr>
  </w:style>
  <w:style w:type="character" w:customStyle="1" w:styleId="ObjetducommentaireCar">
    <w:name w:val="Objet du commentaire Car"/>
    <w:basedOn w:val="CommentaireCar"/>
    <w:rPr>
      <w:b/>
      <w:bCs/>
      <w:sz w:val="20"/>
    </w:rPr>
  </w:style>
  <w:style w:type="character" w:customStyle="1" w:styleId="Footnoteanchor">
    <w:name w:val="Footnote anchor"/>
    <w:rPr>
      <w:position w:val="0"/>
      <w:vertAlign w:val="superscript"/>
    </w:rPr>
  </w:style>
  <w:style w:type="character" w:customStyle="1" w:styleId="FootnoteCharacters">
    <w:name w:val="Footnote Characters"/>
    <w:basedOn w:val="Predvolenpsmoodseku"/>
    <w:rPr>
      <w:position w:val="0"/>
      <w:vertAlign w:val="superscript"/>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82">
    <w:name w:val="ListLabel 82"/>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91">
    <w:name w:val="ListLabel 91"/>
  </w:style>
  <w:style w:type="character" w:customStyle="1" w:styleId="ListLabel92">
    <w:name w:val="ListLabel 92"/>
  </w:style>
  <w:style w:type="character" w:customStyle="1" w:styleId="ListLabel93">
    <w:name w:val="ListLabel 93"/>
  </w:style>
  <w:style w:type="character" w:customStyle="1" w:styleId="ListLabel94">
    <w:name w:val="ListLabel 94"/>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00">
    <w:name w:val="ListLabel 100"/>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ListLabel136">
    <w:name w:val="ListLabel 136"/>
  </w:style>
  <w:style w:type="character" w:customStyle="1" w:styleId="ListLabel137">
    <w:name w:val="ListLabel 137"/>
  </w:style>
  <w:style w:type="character" w:customStyle="1" w:styleId="ListLabel138">
    <w:name w:val="ListLabel 138"/>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style>
  <w:style w:type="character" w:customStyle="1" w:styleId="ListLabel144">
    <w:name w:val="ListLabel 144"/>
  </w:style>
  <w:style w:type="character" w:customStyle="1" w:styleId="ListLabel145">
    <w:name w:val="ListLabel 145"/>
  </w:style>
  <w:style w:type="character" w:customStyle="1" w:styleId="ListLabel146">
    <w:name w:val="ListLabel 146"/>
  </w:style>
  <w:style w:type="character" w:customStyle="1" w:styleId="ListLabel147">
    <w:name w:val="ListLabel 147"/>
  </w:style>
  <w:style w:type="character" w:customStyle="1" w:styleId="ListLabel148">
    <w:name w:val="ListLabel 148"/>
  </w:style>
  <w:style w:type="character" w:customStyle="1" w:styleId="ListLabel149">
    <w:name w:val="ListLabel 149"/>
  </w:style>
  <w:style w:type="character" w:customStyle="1" w:styleId="ListLabel150">
    <w:name w:val="ListLabel 150"/>
  </w:style>
  <w:style w:type="character" w:customStyle="1" w:styleId="ListLabel151">
    <w:name w:val="ListLabel 151"/>
  </w:style>
  <w:style w:type="character" w:customStyle="1" w:styleId="ListLabel152">
    <w:name w:val="ListLabel 152"/>
  </w:style>
  <w:style w:type="character" w:customStyle="1" w:styleId="ListLabel153">
    <w:name w:val="ListLabel 153"/>
  </w:style>
  <w:style w:type="character" w:customStyle="1" w:styleId="ListLabel154">
    <w:name w:val="ListLabel 154"/>
  </w:style>
  <w:style w:type="character" w:customStyle="1" w:styleId="ListLabel155">
    <w:name w:val="ListLabel 155"/>
  </w:style>
  <w:style w:type="character" w:customStyle="1" w:styleId="ListLabel156">
    <w:name w:val="ListLabel 156"/>
  </w:style>
  <w:style w:type="character" w:customStyle="1" w:styleId="ListLabel157">
    <w:name w:val="ListLabel 157"/>
  </w:style>
  <w:style w:type="character" w:customStyle="1" w:styleId="ListLabel158">
    <w:name w:val="ListLabel 158"/>
  </w:style>
  <w:style w:type="character" w:customStyle="1" w:styleId="ListLabel159">
    <w:name w:val="ListLabel 159"/>
  </w:style>
  <w:style w:type="character" w:customStyle="1" w:styleId="ListLabel160">
    <w:name w:val="ListLabel 160"/>
  </w:style>
  <w:style w:type="character" w:customStyle="1" w:styleId="ListLabel161">
    <w:name w:val="ListLabel 161"/>
  </w:style>
  <w:style w:type="character" w:customStyle="1" w:styleId="ListLabel162">
    <w:name w:val="ListLabel 162"/>
  </w:style>
  <w:style w:type="character" w:customStyle="1" w:styleId="ListLabel163">
    <w:name w:val="ListLabel 163"/>
  </w:style>
  <w:style w:type="character" w:customStyle="1" w:styleId="ListLabel164">
    <w:name w:val="ListLabel 164"/>
  </w:style>
  <w:style w:type="character" w:customStyle="1" w:styleId="ListLabel165">
    <w:name w:val="ListLabel 165"/>
  </w:style>
  <w:style w:type="character" w:customStyle="1" w:styleId="ListLabel166">
    <w:name w:val="ListLabel 166"/>
  </w:style>
  <w:style w:type="character" w:customStyle="1" w:styleId="ListLabel167">
    <w:name w:val="ListLabel 167"/>
  </w:style>
  <w:style w:type="character" w:customStyle="1" w:styleId="ListLabel168">
    <w:name w:val="ListLabel 168"/>
  </w:style>
  <w:style w:type="character" w:customStyle="1" w:styleId="ListLabel169">
    <w:name w:val="ListLabel 169"/>
  </w:style>
  <w:style w:type="character" w:customStyle="1" w:styleId="ListLabel170">
    <w:name w:val="ListLabel 170"/>
  </w:style>
  <w:style w:type="character" w:customStyle="1" w:styleId="ListLabel171">
    <w:name w:val="ListLabel 171"/>
  </w:style>
  <w:style w:type="character" w:customStyle="1" w:styleId="ListLabel172">
    <w:name w:val="ListLabel 172"/>
  </w:style>
  <w:style w:type="character" w:customStyle="1" w:styleId="ListLabel173">
    <w:name w:val="ListLabel 173"/>
  </w:style>
  <w:style w:type="character" w:customStyle="1" w:styleId="ListLabel174">
    <w:name w:val="ListLabel 174"/>
  </w:style>
  <w:style w:type="character" w:customStyle="1" w:styleId="ListLabel175">
    <w:name w:val="ListLabel 175"/>
  </w:style>
  <w:style w:type="character" w:customStyle="1" w:styleId="ListLabel176">
    <w:name w:val="ListLabel 176"/>
  </w:style>
  <w:style w:type="character" w:customStyle="1" w:styleId="ListLabel177">
    <w:name w:val="ListLabel 177"/>
  </w:style>
  <w:style w:type="character" w:customStyle="1" w:styleId="ListLabel178">
    <w:name w:val="ListLabel 178"/>
  </w:style>
  <w:style w:type="character" w:customStyle="1" w:styleId="ListLabel179">
    <w:name w:val="ListLabel 179"/>
  </w:style>
  <w:style w:type="character" w:customStyle="1" w:styleId="ListLabel180">
    <w:name w:val="ListLabel 180"/>
  </w:style>
  <w:style w:type="character" w:customStyle="1" w:styleId="ListLabel181">
    <w:name w:val="ListLabel 181"/>
  </w:style>
  <w:style w:type="character" w:customStyle="1" w:styleId="ListLabel182">
    <w:name w:val="ListLabel 182"/>
  </w:style>
  <w:style w:type="character" w:customStyle="1" w:styleId="ListLabel183">
    <w:name w:val="ListLabel 183"/>
  </w:style>
  <w:style w:type="character" w:customStyle="1" w:styleId="ListLabel184">
    <w:name w:val="ListLabel 184"/>
  </w:style>
  <w:style w:type="character" w:customStyle="1" w:styleId="ListLabel185">
    <w:name w:val="ListLabel 185"/>
  </w:style>
  <w:style w:type="character" w:customStyle="1" w:styleId="ListLabel186">
    <w:name w:val="ListLabel 186"/>
  </w:style>
  <w:style w:type="character" w:customStyle="1" w:styleId="ListLabel187">
    <w:name w:val="ListLabel 187"/>
  </w:style>
  <w:style w:type="character" w:customStyle="1" w:styleId="ListLabel188">
    <w:name w:val="ListLabel 188"/>
  </w:style>
  <w:style w:type="character" w:customStyle="1" w:styleId="ListLabel189">
    <w:name w:val="ListLabel 189"/>
  </w:style>
  <w:style w:type="character" w:customStyle="1" w:styleId="ListLabel190">
    <w:name w:val="ListLabel 190"/>
  </w:style>
  <w:style w:type="character" w:customStyle="1" w:styleId="ListLabel191">
    <w:name w:val="ListLabel 191"/>
  </w:style>
  <w:style w:type="character" w:customStyle="1" w:styleId="ListLabel192">
    <w:name w:val="ListLabel 192"/>
  </w:style>
  <w:style w:type="character" w:customStyle="1" w:styleId="ListLabel193">
    <w:name w:val="ListLabel 193"/>
    <w:rPr>
      <w:rFonts w:eastAsia="Times New Roman" w:cs="Times New Roman"/>
    </w:rPr>
  </w:style>
  <w:style w:type="character" w:customStyle="1" w:styleId="ListLabel194">
    <w:name w:val="ListLabel 194"/>
    <w:rPr>
      <w:rFonts w:cs="Courier New"/>
    </w:rPr>
  </w:style>
  <w:style w:type="character" w:customStyle="1" w:styleId="ListLabel195">
    <w:name w:val="ListLabel 195"/>
  </w:style>
  <w:style w:type="character" w:customStyle="1" w:styleId="ListLabel196">
    <w:name w:val="ListLabel 196"/>
  </w:style>
  <w:style w:type="character" w:customStyle="1" w:styleId="ListLabel197">
    <w:name w:val="ListLabel 197"/>
    <w:rPr>
      <w:rFonts w:cs="Courier New"/>
    </w:rPr>
  </w:style>
  <w:style w:type="character" w:customStyle="1" w:styleId="ListLabel198">
    <w:name w:val="ListLabel 198"/>
  </w:style>
  <w:style w:type="character" w:customStyle="1" w:styleId="ListLabel199">
    <w:name w:val="ListLabel 199"/>
  </w:style>
  <w:style w:type="character" w:customStyle="1" w:styleId="ListLabel200">
    <w:name w:val="ListLabel 200"/>
    <w:rPr>
      <w:rFonts w:cs="Courier New"/>
    </w:rPr>
  </w:style>
  <w:style w:type="character" w:customStyle="1" w:styleId="ListLabel201">
    <w:name w:val="ListLabel 201"/>
  </w:style>
  <w:style w:type="character" w:customStyle="1" w:styleId="ListLabel202">
    <w:name w:val="ListLabel 202"/>
  </w:style>
  <w:style w:type="character" w:customStyle="1" w:styleId="ListLabel203">
    <w:name w:val="ListLabel 203"/>
  </w:style>
  <w:style w:type="character" w:customStyle="1" w:styleId="ListLabel204">
    <w:name w:val="ListLabel 204"/>
  </w:style>
  <w:style w:type="character" w:customStyle="1" w:styleId="ListLabel205">
    <w:name w:val="ListLabel 205"/>
  </w:style>
  <w:style w:type="character" w:customStyle="1" w:styleId="ListLabel206">
    <w:name w:val="ListLabel 206"/>
  </w:style>
  <w:style w:type="character" w:customStyle="1" w:styleId="ListLabel207">
    <w:name w:val="ListLabel 207"/>
  </w:style>
  <w:style w:type="character" w:customStyle="1" w:styleId="ListLabel208">
    <w:name w:val="ListLabel 208"/>
  </w:style>
  <w:style w:type="character" w:customStyle="1" w:styleId="ListLabel209">
    <w:name w:val="ListLabel 209"/>
  </w:style>
  <w:style w:type="character" w:customStyle="1" w:styleId="ListLabel210">
    <w:name w:val="ListLabel 210"/>
  </w:style>
  <w:style w:type="character" w:customStyle="1" w:styleId="ListLabel211">
    <w:name w:val="ListLabel 211"/>
  </w:style>
  <w:style w:type="character" w:customStyle="1" w:styleId="ListLabel212">
    <w:name w:val="ListLabel 212"/>
  </w:style>
  <w:style w:type="character" w:customStyle="1" w:styleId="ListLabel213">
    <w:name w:val="ListLabel 213"/>
  </w:style>
  <w:style w:type="character" w:customStyle="1" w:styleId="ListLabel214">
    <w:name w:val="ListLabel 214"/>
  </w:style>
  <w:style w:type="character" w:customStyle="1" w:styleId="ListLabel215">
    <w:name w:val="ListLabel 215"/>
  </w:style>
  <w:style w:type="character" w:customStyle="1" w:styleId="ListLabel216">
    <w:name w:val="ListLabel 216"/>
  </w:style>
  <w:style w:type="character" w:customStyle="1" w:styleId="ListLabel217">
    <w:name w:val="ListLabel 217"/>
  </w:style>
  <w:style w:type="character" w:customStyle="1" w:styleId="ListLabel218">
    <w:name w:val="ListLabel 218"/>
  </w:style>
  <w:style w:type="character" w:customStyle="1" w:styleId="ListLabel219">
    <w:name w:val="ListLabel 219"/>
  </w:style>
  <w:style w:type="character" w:customStyle="1" w:styleId="ListLabel220">
    <w:name w:val="ListLabel 220"/>
  </w:style>
  <w:style w:type="character" w:customStyle="1" w:styleId="ListLabel221">
    <w:name w:val="ListLabel 221"/>
  </w:style>
  <w:style w:type="character" w:customStyle="1" w:styleId="ListLabel222">
    <w:name w:val="ListLabel 222"/>
  </w:style>
  <w:style w:type="character" w:customStyle="1" w:styleId="ListLabel223">
    <w:name w:val="ListLabel 223"/>
  </w:style>
  <w:style w:type="character" w:customStyle="1" w:styleId="ListLabel224">
    <w:name w:val="ListLabel 224"/>
  </w:style>
  <w:style w:type="character" w:customStyle="1" w:styleId="ListLabel225">
    <w:name w:val="ListLabel 225"/>
  </w:style>
  <w:style w:type="character" w:customStyle="1" w:styleId="ListLabel226">
    <w:name w:val="ListLabel 226"/>
  </w:style>
  <w:style w:type="character" w:customStyle="1" w:styleId="ListLabel227">
    <w:name w:val="ListLabel 227"/>
  </w:style>
  <w:style w:type="character" w:customStyle="1" w:styleId="ListLabel228">
    <w:name w:val="ListLabel 228"/>
  </w:style>
  <w:style w:type="character" w:customStyle="1" w:styleId="ListLabel229">
    <w:name w:val="ListLabel 229"/>
  </w:style>
  <w:style w:type="character" w:customStyle="1" w:styleId="ListLabel230">
    <w:name w:val="ListLabel 230"/>
  </w:style>
  <w:style w:type="character" w:customStyle="1" w:styleId="ListLabel231">
    <w:name w:val="ListLabel 231"/>
  </w:style>
  <w:style w:type="character" w:customStyle="1" w:styleId="ListLabel232">
    <w:name w:val="ListLabel 232"/>
  </w:style>
  <w:style w:type="character" w:customStyle="1" w:styleId="ListLabel233">
    <w:name w:val="ListLabel 233"/>
  </w:style>
  <w:style w:type="character" w:customStyle="1" w:styleId="ListLabel234">
    <w:name w:val="ListLabel 234"/>
  </w:style>
  <w:style w:type="character" w:customStyle="1" w:styleId="ListLabel235">
    <w:name w:val="ListLabel 235"/>
  </w:style>
  <w:style w:type="character" w:customStyle="1" w:styleId="ListLabel236">
    <w:name w:val="ListLabel 236"/>
  </w:style>
  <w:style w:type="character" w:customStyle="1" w:styleId="ListLabel237">
    <w:name w:val="ListLabel 237"/>
  </w:style>
  <w:style w:type="character" w:customStyle="1" w:styleId="ListLabel238">
    <w:name w:val="ListLabel 238"/>
  </w:style>
  <w:style w:type="character" w:customStyle="1" w:styleId="ListLabel239">
    <w:name w:val="ListLabel 239"/>
  </w:style>
  <w:style w:type="character" w:customStyle="1" w:styleId="ListLabel240">
    <w:name w:val="ListLabel 240"/>
  </w:style>
  <w:style w:type="character" w:customStyle="1" w:styleId="ListLabel241">
    <w:name w:val="ListLabel 241"/>
  </w:style>
  <w:style w:type="character" w:customStyle="1" w:styleId="ListLabel242">
    <w:name w:val="ListLabel 242"/>
  </w:style>
  <w:style w:type="character" w:customStyle="1" w:styleId="ListLabel243">
    <w:name w:val="ListLabel 243"/>
  </w:style>
  <w:style w:type="character" w:customStyle="1" w:styleId="ListLabel244">
    <w:name w:val="ListLabel 244"/>
  </w:style>
  <w:style w:type="character" w:customStyle="1" w:styleId="ListLabel245">
    <w:name w:val="ListLabel 245"/>
  </w:style>
  <w:style w:type="character" w:customStyle="1" w:styleId="ListLabel246">
    <w:name w:val="ListLabel 246"/>
  </w:style>
  <w:style w:type="character" w:customStyle="1" w:styleId="ListLabel247">
    <w:name w:val="ListLabel 247"/>
  </w:style>
  <w:style w:type="character" w:customStyle="1" w:styleId="ListLabel248">
    <w:name w:val="ListLabel 248"/>
  </w:style>
  <w:style w:type="character" w:customStyle="1" w:styleId="ListLabel249">
    <w:name w:val="ListLabel 249"/>
  </w:style>
  <w:style w:type="character" w:customStyle="1" w:styleId="ListLabel250">
    <w:name w:val="ListLabel 250"/>
  </w:style>
  <w:style w:type="character" w:customStyle="1" w:styleId="ListLabel251">
    <w:name w:val="ListLabel 251"/>
  </w:style>
  <w:style w:type="character" w:customStyle="1" w:styleId="ListLabel252">
    <w:name w:val="ListLabel 252"/>
  </w:style>
  <w:style w:type="character" w:customStyle="1" w:styleId="ListLabel253">
    <w:name w:val="ListLabel 253"/>
  </w:style>
  <w:style w:type="character" w:customStyle="1" w:styleId="ListLabel254">
    <w:name w:val="ListLabel 254"/>
  </w:style>
  <w:style w:type="character" w:customStyle="1" w:styleId="ListLabel255">
    <w:name w:val="ListLabel 255"/>
  </w:style>
  <w:style w:type="character" w:customStyle="1" w:styleId="ListLabel256">
    <w:name w:val="ListLabel 256"/>
  </w:style>
  <w:style w:type="character" w:customStyle="1" w:styleId="ListLabel257">
    <w:name w:val="ListLabel 257"/>
  </w:style>
  <w:style w:type="character" w:customStyle="1" w:styleId="ListLabel258">
    <w:name w:val="ListLabel 258"/>
  </w:style>
  <w:style w:type="character" w:customStyle="1" w:styleId="ListLabel259">
    <w:name w:val="ListLabel 259"/>
  </w:style>
  <w:style w:type="character" w:customStyle="1" w:styleId="ListLabel260">
    <w:name w:val="ListLabel 260"/>
  </w:style>
  <w:style w:type="character" w:customStyle="1" w:styleId="ListLabel261">
    <w:name w:val="ListLabel 261"/>
  </w:style>
  <w:style w:type="character" w:customStyle="1" w:styleId="ListLabel262">
    <w:name w:val="ListLabel 262"/>
  </w:style>
  <w:style w:type="character" w:customStyle="1" w:styleId="ListLabel263">
    <w:name w:val="ListLabel 263"/>
  </w:style>
  <w:style w:type="character" w:customStyle="1" w:styleId="ListLabel264">
    <w:name w:val="ListLabel 264"/>
  </w:style>
  <w:style w:type="character" w:customStyle="1" w:styleId="ListLabel265">
    <w:name w:val="ListLabel 265"/>
  </w:style>
  <w:style w:type="character" w:customStyle="1" w:styleId="ListLabel266">
    <w:name w:val="ListLabel 266"/>
  </w:style>
  <w:style w:type="character" w:customStyle="1" w:styleId="ListLabel267">
    <w:name w:val="ListLabel 267"/>
  </w:style>
  <w:style w:type="character" w:customStyle="1" w:styleId="ListLabel268">
    <w:name w:val="ListLabel 268"/>
  </w:style>
  <w:style w:type="character" w:customStyle="1" w:styleId="ListLabel269">
    <w:name w:val="ListLabel 269"/>
  </w:style>
  <w:style w:type="character" w:customStyle="1" w:styleId="ListLabel270">
    <w:name w:val="ListLabel 270"/>
  </w:style>
  <w:style w:type="character" w:customStyle="1" w:styleId="ListLabel271">
    <w:name w:val="ListLabel 271"/>
  </w:style>
  <w:style w:type="character" w:customStyle="1" w:styleId="ListLabel272">
    <w:name w:val="ListLabel 272"/>
  </w:style>
  <w:style w:type="character" w:customStyle="1" w:styleId="ListLabel273">
    <w:name w:val="ListLabel 273"/>
  </w:style>
  <w:style w:type="character" w:customStyle="1" w:styleId="ListLabel274">
    <w:name w:val="ListLabel 274"/>
  </w:style>
  <w:style w:type="character" w:customStyle="1" w:styleId="ListLabel275">
    <w:name w:val="ListLabel 275"/>
  </w:style>
  <w:style w:type="character" w:customStyle="1" w:styleId="ListLabel276">
    <w:name w:val="ListLabel 276"/>
  </w:style>
  <w:style w:type="character" w:customStyle="1" w:styleId="ListLabel277">
    <w:name w:val="ListLabel 277"/>
  </w:style>
  <w:style w:type="character" w:customStyle="1" w:styleId="ListLabel278">
    <w:name w:val="ListLabel 278"/>
  </w:style>
  <w:style w:type="character" w:customStyle="1" w:styleId="ListLabel279">
    <w:name w:val="ListLabel 279"/>
  </w:style>
  <w:style w:type="character" w:customStyle="1" w:styleId="ListLabel280">
    <w:name w:val="ListLabel 280"/>
  </w:style>
  <w:style w:type="character" w:customStyle="1" w:styleId="ListLabel281">
    <w:name w:val="ListLabel 281"/>
  </w:style>
  <w:style w:type="character" w:customStyle="1" w:styleId="ListLabel282">
    <w:name w:val="ListLabel 282"/>
  </w:style>
  <w:style w:type="character" w:customStyle="1" w:styleId="ListLabel283">
    <w:name w:val="ListLabel 283"/>
  </w:style>
  <w:style w:type="character" w:customStyle="1" w:styleId="ListLabel284">
    <w:name w:val="ListLabel 284"/>
  </w:style>
  <w:style w:type="character" w:customStyle="1" w:styleId="ListLabel285">
    <w:name w:val="ListLabel 285"/>
  </w:style>
  <w:style w:type="character" w:customStyle="1" w:styleId="ListLabel286">
    <w:name w:val="ListLabel 286"/>
  </w:style>
  <w:style w:type="character" w:customStyle="1" w:styleId="ListLabel287">
    <w:name w:val="ListLabel 287"/>
  </w:style>
  <w:style w:type="character" w:customStyle="1" w:styleId="ListLabel288">
    <w:name w:val="ListLabel 288"/>
  </w:style>
  <w:style w:type="character" w:customStyle="1" w:styleId="ListLabel289">
    <w:name w:val="ListLabel 289"/>
  </w:style>
  <w:style w:type="character" w:customStyle="1" w:styleId="ListLabel290">
    <w:name w:val="ListLabel 290"/>
  </w:style>
  <w:style w:type="character" w:customStyle="1" w:styleId="ListLabel291">
    <w:name w:val="ListLabel 291"/>
  </w:style>
  <w:style w:type="character" w:customStyle="1" w:styleId="ListLabel292">
    <w:name w:val="ListLabel 292"/>
  </w:style>
  <w:style w:type="character" w:customStyle="1" w:styleId="ListLabel293">
    <w:name w:val="ListLabel 293"/>
  </w:style>
  <w:style w:type="character" w:customStyle="1" w:styleId="ListLabel294">
    <w:name w:val="ListLabel 294"/>
  </w:style>
  <w:style w:type="character" w:customStyle="1" w:styleId="ListLabel295">
    <w:name w:val="ListLabel 295"/>
  </w:style>
  <w:style w:type="character" w:customStyle="1" w:styleId="ListLabel296">
    <w:name w:val="ListLabel 296"/>
  </w:style>
  <w:style w:type="character" w:customStyle="1" w:styleId="ListLabel297">
    <w:name w:val="ListLabel 297"/>
  </w:style>
  <w:style w:type="character" w:customStyle="1" w:styleId="ListLabel298">
    <w:name w:val="ListLabel 298"/>
  </w:style>
  <w:style w:type="character" w:customStyle="1" w:styleId="ListLabel299">
    <w:name w:val="ListLabel 299"/>
  </w:style>
  <w:style w:type="character" w:customStyle="1" w:styleId="ListLabel300">
    <w:name w:val="ListLabel 300"/>
  </w:style>
  <w:style w:type="character" w:customStyle="1" w:styleId="ListLabel301">
    <w:name w:val="ListLabel 301"/>
  </w:style>
  <w:style w:type="character" w:customStyle="1" w:styleId="ListLabel302">
    <w:name w:val="ListLabel 302"/>
  </w:style>
  <w:style w:type="character" w:customStyle="1" w:styleId="ListLabel303">
    <w:name w:val="ListLabel 303"/>
  </w:style>
  <w:style w:type="character" w:customStyle="1" w:styleId="ListLabel304">
    <w:name w:val="ListLabel 304"/>
  </w:style>
  <w:style w:type="character" w:customStyle="1" w:styleId="ListLabel305">
    <w:name w:val="ListLabel 305"/>
  </w:style>
  <w:style w:type="character" w:customStyle="1" w:styleId="ListLabel306">
    <w:name w:val="ListLabel 306"/>
  </w:style>
  <w:style w:type="character" w:customStyle="1" w:styleId="ListLabel307">
    <w:name w:val="ListLabel 307"/>
  </w:style>
  <w:style w:type="character" w:customStyle="1" w:styleId="ListLabel308">
    <w:name w:val="ListLabel 308"/>
  </w:style>
  <w:style w:type="character" w:customStyle="1" w:styleId="ListLabel309">
    <w:name w:val="ListLabel 309"/>
  </w:style>
  <w:style w:type="character" w:customStyle="1" w:styleId="ListLabel310">
    <w:name w:val="ListLabel 310"/>
  </w:style>
  <w:style w:type="character" w:customStyle="1" w:styleId="ListLabel311">
    <w:name w:val="ListLabel 311"/>
  </w:style>
  <w:style w:type="character" w:customStyle="1" w:styleId="ListLabel312">
    <w:name w:val="ListLabel 312"/>
  </w:style>
  <w:style w:type="character" w:customStyle="1" w:styleId="ListLabel313">
    <w:name w:val="ListLabel 313"/>
  </w:style>
  <w:style w:type="character" w:customStyle="1" w:styleId="ListLabel314">
    <w:name w:val="ListLabel 314"/>
  </w:style>
  <w:style w:type="character" w:customStyle="1" w:styleId="ListLabel315">
    <w:name w:val="ListLabel 315"/>
  </w:style>
  <w:style w:type="character" w:customStyle="1" w:styleId="ListLabel316">
    <w:name w:val="ListLabel 316"/>
  </w:style>
  <w:style w:type="character" w:customStyle="1" w:styleId="ListLabel317">
    <w:name w:val="ListLabel 317"/>
  </w:style>
  <w:style w:type="character" w:customStyle="1" w:styleId="ListLabel318">
    <w:name w:val="ListLabel 318"/>
  </w:style>
  <w:style w:type="character" w:customStyle="1" w:styleId="ListLabel319">
    <w:name w:val="ListLabel 319"/>
    <w:rPr>
      <w:rFonts w:eastAsia="Times New Roman" w:cs="Times New Roman"/>
    </w:rPr>
  </w:style>
  <w:style w:type="character" w:customStyle="1" w:styleId="ListLabel320">
    <w:name w:val="ListLabel 320"/>
    <w:rPr>
      <w:rFonts w:cs="Times New Roman"/>
    </w:rPr>
  </w:style>
  <w:style w:type="character" w:customStyle="1" w:styleId="ListLabel321">
    <w:name w:val="ListLabel 321"/>
    <w:rPr>
      <w:rFonts w:eastAsia="Times New Roman"/>
    </w:rPr>
  </w:style>
  <w:style w:type="character" w:customStyle="1" w:styleId="ListLabel322">
    <w:name w:val="ListLabel 322"/>
  </w:style>
  <w:style w:type="character" w:customStyle="1" w:styleId="ListLabel323">
    <w:name w:val="ListLabel 323"/>
    <w:rPr>
      <w:rFonts w:cs="Times New Roman"/>
    </w:rPr>
  </w:style>
  <w:style w:type="character" w:customStyle="1" w:styleId="ListLabel324">
    <w:name w:val="ListLabel 324"/>
  </w:style>
  <w:style w:type="character" w:customStyle="1" w:styleId="ListLabel325">
    <w:name w:val="ListLabel 325"/>
  </w:style>
  <w:style w:type="character" w:customStyle="1" w:styleId="ListLabel326">
    <w:name w:val="ListLabel 326"/>
    <w:rPr>
      <w:rFonts w:cs="Times New Roman"/>
    </w:rPr>
  </w:style>
  <w:style w:type="character" w:customStyle="1" w:styleId="ListLabel327">
    <w:name w:val="ListLabel 327"/>
  </w:style>
  <w:style w:type="character" w:customStyle="1" w:styleId="ListLabel328">
    <w:name w:val="ListLabel 328"/>
  </w:style>
  <w:style w:type="character" w:customStyle="1" w:styleId="ListLabel329">
    <w:name w:val="ListLabel 329"/>
  </w:style>
  <w:style w:type="character" w:customStyle="1" w:styleId="ListLabel330">
    <w:name w:val="ListLabel 330"/>
  </w:style>
  <w:style w:type="character" w:customStyle="1" w:styleId="ListLabel331">
    <w:name w:val="ListLabel 331"/>
  </w:style>
  <w:style w:type="character" w:customStyle="1" w:styleId="ListLabel332">
    <w:name w:val="ListLabel 332"/>
  </w:style>
  <w:style w:type="character" w:customStyle="1" w:styleId="ListLabel333">
    <w:name w:val="ListLabel 333"/>
  </w:style>
  <w:style w:type="character" w:customStyle="1" w:styleId="ListLabel334">
    <w:name w:val="ListLabel 334"/>
  </w:style>
  <w:style w:type="character" w:customStyle="1" w:styleId="ListLabel335">
    <w:name w:val="ListLabel 335"/>
  </w:style>
  <w:style w:type="character" w:customStyle="1" w:styleId="ListLabel336">
    <w:name w:val="ListLabel 336"/>
  </w:style>
  <w:style w:type="character" w:customStyle="1" w:styleId="ListLabel337">
    <w:name w:val="ListLabel 337"/>
    <w:rPr>
      <w:i/>
      <w:iCs/>
    </w:rPr>
  </w:style>
  <w:style w:type="character" w:customStyle="1" w:styleId="Internetlink0">
    <w:name w:val="Internet link"/>
    <w:rPr>
      <w:color w:val="000080"/>
      <w:u w:val="single"/>
    </w:rPr>
  </w:style>
  <w:style w:type="character" w:customStyle="1" w:styleId="EndnoteSymbol">
    <w:name w:val="Endnote Symbol"/>
  </w:style>
  <w:style w:type="character" w:customStyle="1" w:styleId="FootnoteSymbol">
    <w:name w:val="Footnote Symbol"/>
  </w:style>
  <w:style w:type="character" w:customStyle="1" w:styleId="Linenumbering">
    <w:name w:val="Line numbering"/>
  </w:style>
  <w:style w:type="character" w:styleId="Odkaznapoznmkupodiarou">
    <w:name w:val="footnote reference"/>
    <w:aliases w:val="Footnote symbol,Times 10 Point,Exposant 3 Point, Exposant 3 Point,Appel note de bas de p,Footnote Reference Superscript,PBO Footnote Reference,FR + (Complex) Arial,(Latin) 9 pt,(Complex) 10 pt + (Compl...,Voetnootverwijzing"/>
    <w:basedOn w:val="Predvolenpsmoodseku"/>
    <w:link w:val="Footnotenumber"/>
    <w:uiPriority w:val="99"/>
    <w:qFormat/>
    <w:rPr>
      <w:position w:val="0"/>
      <w:vertAlign w:val="superscript"/>
    </w:rPr>
  </w:style>
  <w:style w:type="character" w:customStyle="1" w:styleId="CommentaireCar1">
    <w:name w:val="Commentaire Car1"/>
    <w:basedOn w:val="Predvolenpsmoodseku"/>
    <w:rPr>
      <w:sz w:val="20"/>
    </w:rPr>
  </w:style>
  <w:style w:type="character" w:customStyle="1" w:styleId="NotedebasdepageCar">
    <w:name w:val="Note de bas de page Car"/>
    <w:aliases w:val="Schriftart: 9 pt Car,Schriftart: 10 pt Car,Schriftart: 8 pt Car,WB-Fußnotentext Car,fn Car,footnote text Car,Footnotes Car,Footnote ak Car,FoodNote Car,ft Car,Footnote text Car,Footnote Car,Footnote Text Char1 Car,Fußnote Car"/>
    <w:basedOn w:val="Predvolenpsmoodseku"/>
    <w:uiPriority w:val="99"/>
    <w:qFormat/>
    <w:rPr>
      <w:sz w:val="20"/>
    </w:rPr>
  </w:style>
  <w:style w:type="character" w:styleId="Hypertextovprepojenie">
    <w:name w:val="Hyperlink"/>
    <w:basedOn w:val="Predvolenpsmoodseku"/>
    <w:rPr>
      <w:color w:val="0563C1"/>
      <w:u w:val="single"/>
    </w:rPr>
  </w:style>
  <w:style w:type="character" w:customStyle="1" w:styleId="Endnoteanchor">
    <w:name w:val="Endnote anchor"/>
    <w:rPr>
      <w:position w:val="0"/>
      <w:vertAlign w:val="superscript"/>
    </w:rPr>
  </w:style>
  <w:style w:type="paragraph" w:styleId="Textkomentra">
    <w:name w:val="annotation text"/>
    <w:basedOn w:val="Normlny"/>
    <w:uiPriority w:val="99"/>
    <w:rPr>
      <w:sz w:val="20"/>
    </w:rPr>
  </w:style>
  <w:style w:type="character" w:customStyle="1" w:styleId="CommentaireCar2">
    <w:name w:val="Commentaire Car2"/>
    <w:basedOn w:val="Predvolenpsmoodseku"/>
    <w:rPr>
      <w:sz w:val="20"/>
    </w:rPr>
  </w:style>
  <w:style w:type="numbering" w:customStyle="1" w:styleId="WWOutlineListStyle4">
    <w:name w:val="WW_OutlineListStyle_4"/>
    <w:basedOn w:val="Bezzoznamu"/>
    <w:pPr>
      <w:numPr>
        <w:numId w:val="2"/>
      </w:numPr>
    </w:pPr>
  </w:style>
  <w:style w:type="numbering" w:customStyle="1" w:styleId="Outline">
    <w:name w:val="Outline"/>
    <w:basedOn w:val="Bezzoznamu"/>
    <w:pPr>
      <w:numPr>
        <w:numId w:val="3"/>
      </w:numPr>
    </w:pPr>
  </w:style>
  <w:style w:type="numbering" w:customStyle="1" w:styleId="Aucuneliste1">
    <w:name w:val="Aucune liste1"/>
    <w:basedOn w:val="Bezzoznamu"/>
    <w:pPr>
      <w:numPr>
        <w:numId w:val="4"/>
      </w:numPr>
    </w:pPr>
  </w:style>
  <w:style w:type="numbering" w:customStyle="1" w:styleId="WWOutlineListStyle3">
    <w:name w:val="WW_OutlineListStyle_3"/>
    <w:basedOn w:val="Bezzoznamu"/>
    <w:pPr>
      <w:numPr>
        <w:numId w:val="5"/>
      </w:numPr>
    </w:pPr>
  </w:style>
  <w:style w:type="numbering" w:customStyle="1" w:styleId="WWOutlineListStyle2">
    <w:name w:val="WW_OutlineListStyle_2"/>
    <w:basedOn w:val="Bezzoznamu"/>
    <w:pPr>
      <w:numPr>
        <w:numId w:val="6"/>
      </w:numPr>
    </w:pPr>
  </w:style>
  <w:style w:type="numbering" w:customStyle="1" w:styleId="WWOutlineListStyle1">
    <w:name w:val="WW_OutlineListStyle_1"/>
    <w:basedOn w:val="Bezzoznamu"/>
    <w:pPr>
      <w:numPr>
        <w:numId w:val="7"/>
      </w:numPr>
    </w:pPr>
  </w:style>
  <w:style w:type="numbering" w:customStyle="1" w:styleId="WWOutlineListStyle">
    <w:name w:val="WW_OutlineListStyle"/>
    <w:basedOn w:val="Bezzoznamu"/>
    <w:pPr>
      <w:numPr>
        <w:numId w:val="8"/>
      </w:numPr>
    </w:pPr>
  </w:style>
  <w:style w:type="numbering" w:customStyle="1" w:styleId="WWNum1">
    <w:name w:val="WWNum1"/>
    <w:basedOn w:val="Bezzoznamu"/>
    <w:pPr>
      <w:numPr>
        <w:numId w:val="9"/>
      </w:numPr>
    </w:pPr>
  </w:style>
  <w:style w:type="numbering" w:customStyle="1" w:styleId="WWNum2">
    <w:name w:val="WWNum2"/>
    <w:basedOn w:val="Bezzoznamu"/>
    <w:pPr>
      <w:numPr>
        <w:numId w:val="10"/>
      </w:numPr>
    </w:pPr>
  </w:style>
  <w:style w:type="numbering" w:customStyle="1" w:styleId="WWNum3">
    <w:name w:val="WWNum3"/>
    <w:basedOn w:val="Bezzoznamu"/>
    <w:pPr>
      <w:numPr>
        <w:numId w:val="11"/>
      </w:numPr>
    </w:pPr>
  </w:style>
  <w:style w:type="numbering" w:customStyle="1" w:styleId="WWNum4">
    <w:name w:val="WWNum4"/>
    <w:basedOn w:val="Bezzoznamu"/>
    <w:pPr>
      <w:numPr>
        <w:numId w:val="12"/>
      </w:numPr>
    </w:pPr>
  </w:style>
  <w:style w:type="numbering" w:customStyle="1" w:styleId="WWNum5">
    <w:name w:val="WWNum5"/>
    <w:basedOn w:val="Bezzoznamu"/>
    <w:pPr>
      <w:numPr>
        <w:numId w:val="13"/>
      </w:numPr>
    </w:pPr>
  </w:style>
  <w:style w:type="numbering" w:customStyle="1" w:styleId="WWNum6">
    <w:name w:val="WWNum6"/>
    <w:basedOn w:val="Bezzoznamu"/>
    <w:pPr>
      <w:numPr>
        <w:numId w:val="14"/>
      </w:numPr>
    </w:pPr>
  </w:style>
  <w:style w:type="numbering" w:customStyle="1" w:styleId="WWNum7">
    <w:name w:val="WWNum7"/>
    <w:basedOn w:val="Bezzoznamu"/>
    <w:pPr>
      <w:numPr>
        <w:numId w:val="15"/>
      </w:numPr>
    </w:pPr>
  </w:style>
  <w:style w:type="numbering" w:customStyle="1" w:styleId="WWNum8">
    <w:name w:val="WWNum8"/>
    <w:basedOn w:val="Bezzoznamu"/>
    <w:pPr>
      <w:numPr>
        <w:numId w:val="16"/>
      </w:numPr>
    </w:pPr>
  </w:style>
  <w:style w:type="numbering" w:customStyle="1" w:styleId="WWNum9">
    <w:name w:val="WWNum9"/>
    <w:basedOn w:val="Bezzoznamu"/>
    <w:pPr>
      <w:numPr>
        <w:numId w:val="17"/>
      </w:numPr>
    </w:pPr>
  </w:style>
  <w:style w:type="numbering" w:customStyle="1" w:styleId="WWNum10">
    <w:name w:val="WWNum10"/>
    <w:basedOn w:val="Bezzoznamu"/>
    <w:pPr>
      <w:numPr>
        <w:numId w:val="18"/>
      </w:numPr>
    </w:pPr>
  </w:style>
  <w:style w:type="numbering" w:customStyle="1" w:styleId="WWNum11">
    <w:name w:val="WWNum11"/>
    <w:basedOn w:val="Bezzoznamu"/>
    <w:pPr>
      <w:numPr>
        <w:numId w:val="19"/>
      </w:numPr>
    </w:pPr>
  </w:style>
  <w:style w:type="numbering" w:customStyle="1" w:styleId="WWNum12">
    <w:name w:val="WWNum12"/>
    <w:basedOn w:val="Bezzoznamu"/>
    <w:pPr>
      <w:numPr>
        <w:numId w:val="20"/>
      </w:numPr>
    </w:pPr>
  </w:style>
  <w:style w:type="numbering" w:customStyle="1" w:styleId="WWNum13">
    <w:name w:val="WWNum13"/>
    <w:basedOn w:val="Bezzoznamu"/>
    <w:pPr>
      <w:numPr>
        <w:numId w:val="21"/>
      </w:numPr>
    </w:pPr>
  </w:style>
  <w:style w:type="numbering" w:customStyle="1" w:styleId="WWNum14">
    <w:name w:val="WWNum14"/>
    <w:basedOn w:val="Bezzoznamu"/>
    <w:pPr>
      <w:numPr>
        <w:numId w:val="22"/>
      </w:numPr>
    </w:pPr>
  </w:style>
  <w:style w:type="numbering" w:customStyle="1" w:styleId="WWNum15">
    <w:name w:val="WWNum15"/>
    <w:basedOn w:val="Bezzoznamu"/>
    <w:pPr>
      <w:numPr>
        <w:numId w:val="23"/>
      </w:numPr>
    </w:pPr>
  </w:style>
  <w:style w:type="numbering" w:customStyle="1" w:styleId="WWNum17">
    <w:name w:val="WWNum17"/>
    <w:basedOn w:val="Bezzoznamu"/>
    <w:pPr>
      <w:numPr>
        <w:numId w:val="24"/>
      </w:numPr>
    </w:pPr>
  </w:style>
  <w:style w:type="numbering" w:customStyle="1" w:styleId="WWNum18">
    <w:name w:val="WWNum18"/>
    <w:basedOn w:val="Bezzoznamu"/>
    <w:pPr>
      <w:numPr>
        <w:numId w:val="25"/>
      </w:numPr>
    </w:pPr>
  </w:style>
  <w:style w:type="numbering" w:customStyle="1" w:styleId="WWNum19">
    <w:name w:val="WWNum19"/>
    <w:basedOn w:val="Bezzoznamu"/>
    <w:pPr>
      <w:numPr>
        <w:numId w:val="26"/>
      </w:numPr>
    </w:pPr>
  </w:style>
  <w:style w:type="numbering" w:customStyle="1" w:styleId="WWNum20">
    <w:name w:val="WWNum20"/>
    <w:basedOn w:val="Bezzoznamu"/>
    <w:pPr>
      <w:numPr>
        <w:numId w:val="27"/>
      </w:numPr>
    </w:pPr>
  </w:style>
  <w:style w:type="numbering" w:customStyle="1" w:styleId="WWNum21">
    <w:name w:val="WWNum21"/>
    <w:basedOn w:val="Bezzoznamu"/>
    <w:pPr>
      <w:numPr>
        <w:numId w:val="28"/>
      </w:numPr>
    </w:pPr>
  </w:style>
  <w:style w:type="numbering" w:customStyle="1" w:styleId="WWNum22">
    <w:name w:val="WWNum22"/>
    <w:basedOn w:val="Bezzoznamu"/>
    <w:pPr>
      <w:numPr>
        <w:numId w:val="29"/>
      </w:numPr>
    </w:pPr>
  </w:style>
  <w:style w:type="numbering" w:customStyle="1" w:styleId="WWNum23">
    <w:name w:val="WWNum23"/>
    <w:basedOn w:val="Bezzoznamu"/>
    <w:pPr>
      <w:numPr>
        <w:numId w:val="30"/>
      </w:numPr>
    </w:pPr>
  </w:style>
  <w:style w:type="numbering" w:customStyle="1" w:styleId="WWNum24">
    <w:name w:val="WWNum24"/>
    <w:basedOn w:val="Bezzoznamu"/>
    <w:pPr>
      <w:numPr>
        <w:numId w:val="31"/>
      </w:numPr>
    </w:pPr>
  </w:style>
  <w:style w:type="numbering" w:customStyle="1" w:styleId="WWNum25">
    <w:name w:val="WWNum25"/>
    <w:basedOn w:val="Bezzoznamu"/>
    <w:pPr>
      <w:numPr>
        <w:numId w:val="32"/>
      </w:numPr>
    </w:pPr>
  </w:style>
  <w:style w:type="numbering" w:customStyle="1" w:styleId="WWNum26">
    <w:name w:val="WWNum26"/>
    <w:basedOn w:val="Bezzoznamu"/>
    <w:pPr>
      <w:numPr>
        <w:numId w:val="33"/>
      </w:numPr>
    </w:pPr>
  </w:style>
  <w:style w:type="numbering" w:customStyle="1" w:styleId="WWNum27">
    <w:name w:val="WWNum27"/>
    <w:basedOn w:val="Bezzoznamu"/>
    <w:pPr>
      <w:numPr>
        <w:numId w:val="34"/>
      </w:numPr>
    </w:pPr>
  </w:style>
  <w:style w:type="numbering" w:customStyle="1" w:styleId="WWNum28">
    <w:name w:val="WWNum28"/>
    <w:basedOn w:val="Bezzoznamu"/>
    <w:pPr>
      <w:numPr>
        <w:numId w:val="35"/>
      </w:numPr>
    </w:pPr>
  </w:style>
  <w:style w:type="numbering" w:customStyle="1" w:styleId="WWNum29">
    <w:name w:val="WWNum29"/>
    <w:basedOn w:val="Bezzoznamu"/>
    <w:pPr>
      <w:numPr>
        <w:numId w:val="36"/>
      </w:numPr>
    </w:pPr>
  </w:style>
  <w:style w:type="numbering" w:customStyle="1" w:styleId="WWNum30">
    <w:name w:val="WWNum30"/>
    <w:basedOn w:val="Bezzoznamu"/>
    <w:pPr>
      <w:numPr>
        <w:numId w:val="37"/>
      </w:numPr>
    </w:pPr>
  </w:style>
  <w:style w:type="numbering" w:customStyle="1" w:styleId="WWNum31">
    <w:name w:val="WWNum31"/>
    <w:basedOn w:val="Bezzoznamu"/>
    <w:pPr>
      <w:numPr>
        <w:numId w:val="38"/>
      </w:numPr>
    </w:pPr>
  </w:style>
  <w:style w:type="numbering" w:customStyle="1" w:styleId="WWNum32">
    <w:name w:val="WWNum32"/>
    <w:basedOn w:val="Bezzoznamu"/>
    <w:pPr>
      <w:numPr>
        <w:numId w:val="39"/>
      </w:numPr>
    </w:pPr>
  </w:style>
  <w:style w:type="numbering" w:customStyle="1" w:styleId="WWNum33">
    <w:name w:val="WWNum33"/>
    <w:basedOn w:val="Bezzoznamu"/>
    <w:pPr>
      <w:numPr>
        <w:numId w:val="40"/>
      </w:numPr>
    </w:pPr>
  </w:style>
  <w:style w:type="numbering" w:customStyle="1" w:styleId="WWNum34">
    <w:name w:val="WWNum34"/>
    <w:basedOn w:val="Bezzoznamu"/>
    <w:pPr>
      <w:numPr>
        <w:numId w:val="41"/>
      </w:numPr>
    </w:pPr>
  </w:style>
  <w:style w:type="numbering" w:customStyle="1" w:styleId="WWNum35">
    <w:name w:val="WWNum35"/>
    <w:basedOn w:val="Bezzoznamu"/>
    <w:pPr>
      <w:numPr>
        <w:numId w:val="42"/>
      </w:numPr>
    </w:pPr>
  </w:style>
  <w:style w:type="numbering" w:customStyle="1" w:styleId="WWNum36">
    <w:name w:val="WWNum36"/>
    <w:basedOn w:val="Bezzoznamu"/>
    <w:pPr>
      <w:numPr>
        <w:numId w:val="43"/>
      </w:numPr>
    </w:pPr>
  </w:style>
  <w:style w:type="numbering" w:customStyle="1" w:styleId="WWNum37">
    <w:name w:val="WWNum37"/>
    <w:basedOn w:val="Bezzoznamu"/>
    <w:pPr>
      <w:numPr>
        <w:numId w:val="44"/>
      </w:numPr>
    </w:pPr>
  </w:style>
  <w:style w:type="numbering" w:customStyle="1" w:styleId="WWNum38">
    <w:name w:val="WWNum38"/>
    <w:basedOn w:val="Bezzoznamu"/>
    <w:pPr>
      <w:numPr>
        <w:numId w:val="45"/>
      </w:numPr>
    </w:pPr>
  </w:style>
  <w:style w:type="numbering" w:customStyle="1" w:styleId="WWNum39">
    <w:name w:val="WWNum39"/>
    <w:basedOn w:val="Bezzoznamu"/>
    <w:pPr>
      <w:numPr>
        <w:numId w:val="46"/>
      </w:numPr>
    </w:pPr>
  </w:style>
  <w:style w:type="numbering" w:customStyle="1" w:styleId="WWNum40">
    <w:name w:val="WWNum40"/>
    <w:basedOn w:val="Bezzoznamu"/>
    <w:pPr>
      <w:numPr>
        <w:numId w:val="47"/>
      </w:numPr>
    </w:pPr>
  </w:style>
  <w:style w:type="paragraph" w:styleId="Textpoznmkypodiarou">
    <w:name w:val="footnote text"/>
    <w:aliases w:val="Schriftart: 9 pt,Schriftart: 10 pt,Schriftart: 8 pt,WB-Fußnotentext,fn,footnote text,Footnotes,Footnote ak,FoodNote,ft,Footnote text,Footnote Text Char1,Footnote Text Char Char,Footnote Text Char1 Char Cha,Fußnote"/>
    <w:basedOn w:val="Normlny"/>
    <w:link w:val="TextpoznmkypodiarouChar"/>
    <w:uiPriority w:val="99"/>
    <w:unhideWhenUsed/>
    <w:qFormat/>
    <w:rPr>
      <w:sz w:val="20"/>
    </w:rPr>
  </w:style>
  <w:style w:type="character" w:customStyle="1" w:styleId="TextpoznmkypodiarouChar">
    <w:name w:val="Text poznámky pod čiarou Char"/>
    <w:aliases w:val="Schriftart: 9 pt Char,Schriftart: 10 pt Char,Schriftart: 8 pt Char,WB-Fußnotentext Char,fn Char,footnote text Char,Footnotes Char,Footnote ak Char,FoodNote Char,ft Char,Footnote text Char,Footnote Text Char1 Char"/>
    <w:basedOn w:val="Predvolenpsmoodseku"/>
    <w:link w:val="Textpoznmkypodiarou"/>
    <w:uiPriority w:val="99"/>
    <w:semiHidden/>
    <w:rPr>
      <w:sz w:val="20"/>
    </w:rPr>
  </w:style>
  <w:style w:type="character" w:styleId="Vrazn">
    <w:name w:val="Strong"/>
    <w:basedOn w:val="Predvolenpsmoodseku"/>
    <w:uiPriority w:val="22"/>
    <w:qFormat/>
    <w:rPr>
      <w:b/>
      <w:bCs/>
    </w:rPr>
  </w:style>
  <w:style w:type="paragraph" w:styleId="Normlnywebov">
    <w:name w:val="Normal (Web)"/>
    <w:basedOn w:val="Normlny"/>
    <w:uiPriority w:val="99"/>
    <w:unhideWhenUsed/>
    <w:pPr>
      <w:widowControl/>
      <w:suppressAutoHyphens w:val="0"/>
      <w:autoSpaceDN/>
      <w:spacing w:before="100" w:beforeAutospacing="1" w:after="142" w:line="276" w:lineRule="auto"/>
      <w:jc w:val="both"/>
      <w:textAlignment w:val="auto"/>
    </w:pPr>
    <w:rPr>
      <w:szCs w:val="24"/>
      <w:lang w:val="fr-FR" w:eastAsia="fr-FR"/>
    </w:rPr>
  </w:style>
  <w:style w:type="paragraph" w:styleId="Textbubliny">
    <w:name w:val="Balloon Text"/>
    <w:basedOn w:val="Normlny"/>
    <w:link w:val="TextbublinyChar"/>
    <w:uiPriority w:val="99"/>
    <w:semiHidden/>
    <w:unhideWhenUsed/>
    <w:rPr>
      <w:rFonts w:ascii="Segoe UI" w:hAnsi="Segoe UI" w:cs="Segoe UI"/>
      <w:sz w:val="18"/>
      <w:szCs w:val="18"/>
    </w:rPr>
  </w:style>
  <w:style w:type="character" w:customStyle="1" w:styleId="TextbublinyChar">
    <w:name w:val="Text bubliny Char"/>
    <w:basedOn w:val="Predvolenpsmoodseku"/>
    <w:link w:val="Textbubliny"/>
    <w:uiPriority w:val="99"/>
    <w:semiHidden/>
    <w:rPr>
      <w:rFonts w:ascii="Segoe UI" w:hAnsi="Segoe UI" w:cs="Segoe UI"/>
      <w:sz w:val="18"/>
      <w:szCs w:val="18"/>
    </w:rPr>
  </w:style>
  <w:style w:type="character" w:styleId="Nevyrieenzmienka">
    <w:name w:val="Unresolved Mention"/>
    <w:basedOn w:val="Predvolenpsmoodseku"/>
    <w:uiPriority w:val="99"/>
    <w:semiHidden/>
    <w:unhideWhenUsed/>
    <w:rPr>
      <w:color w:val="605E5C"/>
      <w:shd w:val="clear" w:color="auto" w:fill="E1DFDD"/>
    </w:rPr>
  </w:style>
  <w:style w:type="paragraph" w:customStyle="1" w:styleId="Footnotenumber">
    <w:name w:val="Footnote number"/>
    <w:aliases w:val="fr"/>
    <w:basedOn w:val="Normlny"/>
    <w:link w:val="Odkaznapoznmkupodiarou"/>
    <w:pPr>
      <w:widowControl/>
      <w:suppressAutoHyphens w:val="0"/>
      <w:autoSpaceDN/>
      <w:spacing w:after="160" w:line="240" w:lineRule="exact"/>
      <w:textAlignment w:val="auto"/>
    </w:pPr>
    <w:rPr>
      <w:vertAlign w:val="superscript"/>
    </w:rPr>
  </w:style>
  <w:style w:type="character" w:customStyle="1" w:styleId="Nadpis1Char">
    <w:name w:val="Nadpis 1 Char"/>
    <w:basedOn w:val="Predvolenpsmoodseku"/>
    <w:link w:val="Nadpis1"/>
    <w:uiPriority w:val="1"/>
    <w:rPr>
      <w:b/>
      <w:smallCaps/>
    </w:rPr>
  </w:style>
  <w:style w:type="character" w:customStyle="1" w:styleId="Nadpis2Char">
    <w:name w:val="Nadpis 2 Char"/>
    <w:basedOn w:val="Predvolenpsmoodseku"/>
    <w:link w:val="Nadpis2"/>
    <w:uiPriority w:val="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794296">
      <w:bodyDiv w:val="1"/>
      <w:marLeft w:val="0"/>
      <w:marRight w:val="0"/>
      <w:marTop w:val="0"/>
      <w:marBottom w:val="0"/>
      <w:divBdr>
        <w:top w:val="none" w:sz="0" w:space="0" w:color="auto"/>
        <w:left w:val="none" w:sz="0" w:space="0" w:color="auto"/>
        <w:bottom w:val="none" w:sz="0" w:space="0" w:color="auto"/>
        <w:right w:val="none" w:sz="0" w:space="0" w:color="auto"/>
      </w:divBdr>
    </w:div>
    <w:div w:id="410081726">
      <w:bodyDiv w:val="1"/>
      <w:marLeft w:val="0"/>
      <w:marRight w:val="0"/>
      <w:marTop w:val="0"/>
      <w:marBottom w:val="0"/>
      <w:divBdr>
        <w:top w:val="none" w:sz="0" w:space="0" w:color="auto"/>
        <w:left w:val="none" w:sz="0" w:space="0" w:color="auto"/>
        <w:bottom w:val="none" w:sz="0" w:space="0" w:color="auto"/>
        <w:right w:val="none" w:sz="0" w:space="0" w:color="auto"/>
      </w:divBdr>
    </w:div>
    <w:div w:id="471143679">
      <w:bodyDiv w:val="1"/>
      <w:marLeft w:val="0"/>
      <w:marRight w:val="0"/>
      <w:marTop w:val="0"/>
      <w:marBottom w:val="0"/>
      <w:divBdr>
        <w:top w:val="none" w:sz="0" w:space="0" w:color="auto"/>
        <w:left w:val="none" w:sz="0" w:space="0" w:color="auto"/>
        <w:bottom w:val="none" w:sz="0" w:space="0" w:color="auto"/>
        <w:right w:val="none" w:sz="0" w:space="0" w:color="auto"/>
      </w:divBdr>
    </w:div>
    <w:div w:id="487282878">
      <w:bodyDiv w:val="1"/>
      <w:marLeft w:val="0"/>
      <w:marRight w:val="0"/>
      <w:marTop w:val="0"/>
      <w:marBottom w:val="0"/>
      <w:divBdr>
        <w:top w:val="none" w:sz="0" w:space="0" w:color="auto"/>
        <w:left w:val="none" w:sz="0" w:space="0" w:color="auto"/>
        <w:bottom w:val="none" w:sz="0" w:space="0" w:color="auto"/>
        <w:right w:val="none" w:sz="0" w:space="0" w:color="auto"/>
      </w:divBdr>
    </w:div>
    <w:div w:id="844125029">
      <w:bodyDiv w:val="1"/>
      <w:marLeft w:val="0"/>
      <w:marRight w:val="0"/>
      <w:marTop w:val="0"/>
      <w:marBottom w:val="0"/>
      <w:divBdr>
        <w:top w:val="none" w:sz="0" w:space="0" w:color="auto"/>
        <w:left w:val="none" w:sz="0" w:space="0" w:color="auto"/>
        <w:bottom w:val="none" w:sz="0" w:space="0" w:color="auto"/>
        <w:right w:val="none" w:sz="0" w:space="0" w:color="auto"/>
      </w:divBdr>
    </w:div>
    <w:div w:id="1833061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EN/TXT/PDF/?uri=CELEX:52021XC1230(0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A52022XC1028%2803%29" TargetMode="External"/><Relationship Id="rId2" Type="http://schemas.openxmlformats.org/officeDocument/2006/relationships/hyperlink" Target="https://eur-lex.europa.eu/legal-content/EN/TXT/?uri=celex%3A32014R0651" TargetMode="External"/><Relationship Id="rId1" Type="http://schemas.openxmlformats.org/officeDocument/2006/relationships/hyperlink" Target="https://single-market-economy.ec.europa.eu/industry/industrial-alliances/european-industrial-alliance-small-modular-reactors_en" TargetMode="External"/><Relationship Id="rId4" Type="http://schemas.openxmlformats.org/officeDocument/2006/relationships/hyperlink" Target="https://eur-lex.europa.eu/legal-content/EN/TXT/PDF/?uri=CELEX:52022XC0218(0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4556B2B814524295F421242F1587F9" ma:contentTypeVersion="3" ma:contentTypeDescription="Umožňuje vytvoriť nový dokument." ma:contentTypeScope="" ma:versionID="5224d1fdfea33b8ded7d81c04ccbeb9f">
  <xsd:schema xmlns:xsd="http://www.w3.org/2001/XMLSchema" xmlns:xs="http://www.w3.org/2001/XMLSchema" xmlns:p="http://schemas.microsoft.com/office/2006/metadata/properties" xmlns:ns2="1217bdb6-52c4-41af-958e-15452066f23a" targetNamespace="http://schemas.microsoft.com/office/2006/metadata/properties" ma:root="true" ma:fieldsID="e81ca58095d59024646e7f5f5ca3839d" ns2:_="">
    <xsd:import namespace="1217bdb6-52c4-41af-958e-15452066f23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7bdb6-52c4-41af-958e-15452066f2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6F4185-1D88-4883-B75E-E5912018D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7bdb6-52c4-41af-958e-15452066f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062E17-E088-4545-9E71-3BB50E2D2D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95FFE3-B201-4238-B22C-B272F4E31C7D}">
  <ds:schemaRefs>
    <ds:schemaRef ds:uri="http://schemas.openxmlformats.org/officeDocument/2006/bibliography"/>
  </ds:schemaRefs>
</ds:datastoreItem>
</file>

<file path=customXml/itemProps4.xml><?xml version="1.0" encoding="utf-8"?>
<ds:datastoreItem xmlns:ds="http://schemas.openxmlformats.org/officeDocument/2006/customXml" ds:itemID="{30B89D74-E900-4963-99F4-B02F1EA787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4886</Words>
  <Characters>27852</Characters>
  <Application>Microsoft Office Word</Application>
  <DocSecurity>0</DocSecurity>
  <Lines>232</Lines>
  <Paragraphs>65</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ROTY Guillaume (GROW)</dc:creator>
  <cp:lastModifiedBy>Cibulkova Veronika</cp:lastModifiedBy>
  <cp:revision>9</cp:revision>
  <cp:lastPrinted>2025-02-04T15:55:00Z</cp:lastPrinted>
  <dcterms:created xsi:type="dcterms:W3CDTF">2025-03-13T13:23:00Z</dcterms:created>
  <dcterms:modified xsi:type="dcterms:W3CDTF">2026-08-27T08:13:00Z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lianceAssetId">
    <vt:lpwstr/>
  </property>
  <property fmtid="{D5CDD505-2E9C-101B-9397-08002B2CF9AE}" pid="4" name="ContentTypeId">
    <vt:lpwstr>0x010100A94556B2B814524295F421242F1587F9</vt:lpwstr>
  </property>
  <property fmtid="{D5CDD505-2E9C-101B-9397-08002B2CF9AE}" pid="5" name="MSIP_Label_6bd9ddd1-4d20-43f6-abfa-fc3c07406f94_ActionId">
    <vt:lpwstr>206ed358-463d-47ec-a522-c9e00a9f9ace</vt:lpwstr>
  </property>
  <property fmtid="{D5CDD505-2E9C-101B-9397-08002B2CF9AE}" pid="6" name="MSIP_Label_6bd9ddd1-4d20-43f6-abfa-fc3c07406f94_ContentBits">
    <vt:lpwstr>0</vt:lpwstr>
  </property>
  <property fmtid="{D5CDD505-2E9C-101B-9397-08002B2CF9AE}" pid="7" name="MSIP_Label_6bd9ddd1-4d20-43f6-abfa-fc3c07406f94_Enabled">
    <vt:lpwstr>true</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etDate">
    <vt:lpwstr>2023-12-19T16:10:54Z</vt:lpwstr>
  </property>
  <property fmtid="{D5CDD505-2E9C-101B-9397-08002B2CF9AE}" pid="11" name="MSIP_Label_6bd9ddd1-4d20-43f6-abfa-fc3c07406f94_SiteId">
    <vt:lpwstr>b24c8b06-522c-46fe-9080-70926f8dddb1</vt:lpwstr>
  </property>
  <property fmtid="{D5CDD505-2E9C-101B-9397-08002B2CF9AE}" pid="12" name="MediaServiceImageTags">
    <vt:lpwstr/>
  </property>
  <property fmtid="{D5CDD505-2E9C-101B-9397-08002B2CF9AE}" pid="13" name="PresentationFormat">
    <vt:lpwstr>Microsoft Word 14.0</vt:lpwstr>
  </property>
  <property fmtid="{D5CDD505-2E9C-101B-9397-08002B2CF9AE}" pid="14" name="ScaleCrop">
    <vt:bool>true</vt:bool>
  </property>
  <property fmtid="{D5CDD505-2E9C-101B-9397-08002B2CF9AE}" pid="15" name="TemplateUrl">
    <vt:lpwstr/>
  </property>
  <property fmtid="{D5CDD505-2E9C-101B-9397-08002B2CF9AE}" pid="16" name="TriggerFlowInfo">
    <vt:lpwstr/>
  </property>
  <property fmtid="{D5CDD505-2E9C-101B-9397-08002B2CF9AE}" pid="17" name="_ExtendedDescription">
    <vt:lpwstr/>
  </property>
  <property fmtid="{D5CDD505-2E9C-101B-9397-08002B2CF9AE}" pid="18" name="xd_ProgID">
    <vt:lpwstr/>
  </property>
  <property fmtid="{D5CDD505-2E9C-101B-9397-08002B2CF9AE}" pid="19" name="xd_Signature">
    <vt:bool>false</vt:bool>
  </property>
  <property fmtid="{D5CDD505-2E9C-101B-9397-08002B2CF9AE}" pid="20" name="MSIP_Label_94f5f15f-11ca-4705-a655-5e46846a1c6b_Enabled">
    <vt:lpwstr>true</vt:lpwstr>
  </property>
  <property fmtid="{D5CDD505-2E9C-101B-9397-08002B2CF9AE}" pid="21" name="MSIP_Label_94f5f15f-11ca-4705-a655-5e46846a1c6b_SetDate">
    <vt:lpwstr>2025-02-25T10:11:54Z</vt:lpwstr>
  </property>
  <property fmtid="{D5CDD505-2E9C-101B-9397-08002B2CF9AE}" pid="22" name="MSIP_Label_94f5f15f-11ca-4705-a655-5e46846a1c6b_Method">
    <vt:lpwstr>Standard</vt:lpwstr>
  </property>
  <property fmtid="{D5CDD505-2E9C-101B-9397-08002B2CF9AE}" pid="23" name="MSIP_Label_94f5f15f-11ca-4705-a655-5e46846a1c6b_Name">
    <vt:lpwstr>Pubblico</vt:lpwstr>
  </property>
  <property fmtid="{D5CDD505-2E9C-101B-9397-08002B2CF9AE}" pid="24" name="MSIP_Label_94f5f15f-11ca-4705-a655-5e46846a1c6b_SiteId">
    <vt:lpwstr>49ea7387-144b-4c06-b54d-6a66b2b79d71</vt:lpwstr>
  </property>
  <property fmtid="{D5CDD505-2E9C-101B-9397-08002B2CF9AE}" pid="25" name="MSIP_Label_94f5f15f-11ca-4705-a655-5e46846a1c6b_ActionId">
    <vt:lpwstr>e8889d44-c6ea-45a7-b598-6e8fa68dd40b</vt:lpwstr>
  </property>
  <property fmtid="{D5CDD505-2E9C-101B-9397-08002B2CF9AE}" pid="26" name="MSIP_Label_94f5f15f-11ca-4705-a655-5e46846a1c6b_ContentBits">
    <vt:lpwstr>0</vt:lpwstr>
  </property>
</Properties>
</file>