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2E8AE" w14:textId="77777777" w:rsidR="00026246" w:rsidRDefault="00000000">
      <w:pPr>
        <w:pStyle w:val="NoteHead"/>
      </w:pPr>
      <w:sdt>
        <w:sdtPr>
          <w:alias w:val="Note for - Note for the File"/>
          <w:tag w:val="u7uN5kfMW4zFYuXg0ziI1D-E4pEJMn25qAH87bmWIf9S1"/>
          <w:id w:val="259716745"/>
          <w:dataBinding w:xpath="/Texts/NoteFile" w:storeItemID="{00000000-0000-0000-0000-000000000000}"/>
          <w:text w:multiLine="1"/>
        </w:sdtPr>
        <w:sdtContent>
          <w:r w:rsidR="00884217">
            <w:t>EU pre-assessment fiche for IPCEI candidates</w:t>
          </w:r>
        </w:sdtContent>
      </w:sdt>
    </w:p>
    <w:p w14:paraId="31A2E8AF" w14:textId="77777777" w:rsidR="00026246" w:rsidRDefault="00884217">
      <w:pPr>
        <w:rPr>
          <w:i/>
          <w:iCs/>
        </w:rPr>
      </w:pPr>
      <w:r>
        <w:rPr>
          <w:i/>
          <w:iCs/>
        </w:rPr>
        <w:t xml:space="preserve">The objective of this fiche is to provide a preliminary assessment of whether an industrial policy initiative in a given area (be it a specific technology, value chain or sector) would be a suitable candidate for an IPCEI. </w:t>
      </w:r>
    </w:p>
    <w:p w14:paraId="31A2E8B0" w14:textId="77777777" w:rsidR="00026246" w:rsidRDefault="00884217">
      <w:pPr>
        <w:rPr>
          <w:i/>
          <w:iCs/>
        </w:rPr>
      </w:pPr>
      <w:r>
        <w:rPr>
          <w:i/>
          <w:iCs/>
        </w:rPr>
        <w:t xml:space="preserve">The questions aim at ensuring that an industrial strategy initiative by Member States in a given area is warranted, aligns with EU objectives and would meet the eligibility criteria set out in the </w:t>
      </w:r>
      <w:hyperlink r:id="rId11">
        <w:r>
          <w:rPr>
            <w:rStyle w:val="Hypertextovprepojenie"/>
            <w:i/>
            <w:iCs/>
          </w:rPr>
          <w:t>IPCEI Communication</w:t>
        </w:r>
      </w:hyperlink>
      <w:r>
        <w:rPr>
          <w:i/>
          <w:iCs/>
        </w:rPr>
        <w:t xml:space="preserve">. </w:t>
      </w:r>
    </w:p>
    <w:p w14:paraId="31A2E8B1" w14:textId="77777777" w:rsidR="00026246" w:rsidRDefault="00884217">
      <w:pPr>
        <w:rPr>
          <w:i/>
          <w:iCs/>
        </w:rPr>
      </w:pPr>
      <w:r>
        <w:rPr>
          <w:i/>
          <w:iCs/>
        </w:rPr>
        <w:t xml:space="preserve">The objective of the fiche is not to come up with a final decision as to whether launching an IPCEI in a given area, but to assess if it would be necessary to conduct more analytical work to design a potential IPCEI.  </w:t>
      </w:r>
    </w:p>
    <w:p w14:paraId="31A2E8B2" w14:textId="77777777" w:rsidR="00026246" w:rsidRDefault="00884217">
      <w:pPr>
        <w:rPr>
          <w:i/>
          <w:iCs/>
        </w:rPr>
      </w:pPr>
      <w:r>
        <w:rPr>
          <w:i/>
          <w:iCs/>
        </w:rPr>
        <w:t>Please limit the reply to max. 10 pages.</w:t>
      </w:r>
    </w:p>
    <w:p w14:paraId="31A2E8B3" w14:textId="77777777" w:rsidR="00026246" w:rsidRDefault="00884217">
      <w:pPr>
        <w:rPr>
          <w:b/>
          <w:bCs/>
        </w:rPr>
      </w:pPr>
      <w:bookmarkStart w:id="0" w:name="_Hlk192096128"/>
      <w:r>
        <w:rPr>
          <w:b/>
          <w:bCs/>
        </w:rPr>
        <w:t>General scope of the IPCEI on nuclear technologies</w:t>
      </w:r>
    </w:p>
    <w:p w14:paraId="31A2E8B4" w14:textId="77777777" w:rsidR="00026246" w:rsidRDefault="00884217">
      <w:pPr>
        <w:pBdr>
          <w:top w:val="single" w:sz="4" w:space="1" w:color="auto"/>
          <w:left w:val="single" w:sz="4" w:space="4" w:color="auto"/>
          <w:bottom w:val="single" w:sz="4" w:space="1" w:color="auto"/>
          <w:right w:val="single" w:sz="4" w:space="4" w:color="auto"/>
        </w:pBdr>
        <w:rPr>
          <w:b/>
          <w:bCs/>
        </w:rPr>
      </w:pPr>
      <w:r>
        <w:rPr>
          <w:b/>
          <w:bCs/>
        </w:rPr>
        <w:t xml:space="preserve">The proposed IPCEI on innovative nuclear technologies would aim at enabling Member States to invest into innovative nuclear technologies, such as SMRs/AMRs, fusion technologies, radioisotopes production, along with their enabling activities. These technologies have the potential to address two key societal challenges, namely </w:t>
      </w:r>
      <w:bookmarkStart w:id="1" w:name="_Hlk192146482"/>
      <w:r>
        <w:rPr>
          <w:b/>
          <w:bCs/>
        </w:rPr>
        <w:t>(i) climate neutrality, (ii) strategic autonomy and security of supply and (iii) a better health</w:t>
      </w:r>
      <w:bookmarkEnd w:id="1"/>
      <w:r>
        <w:rPr>
          <w:b/>
          <w:bCs/>
        </w:rPr>
        <w:t xml:space="preserve">. </w:t>
      </w:r>
    </w:p>
    <w:p w14:paraId="31A2E8B5" w14:textId="77777777" w:rsidR="00026246" w:rsidRDefault="00884217">
      <w:pPr>
        <w:pBdr>
          <w:top w:val="single" w:sz="4" w:space="1" w:color="auto"/>
          <w:left w:val="single" w:sz="4" w:space="4" w:color="auto"/>
          <w:bottom w:val="single" w:sz="4" w:space="1" w:color="auto"/>
          <w:right w:val="single" w:sz="4" w:space="4" w:color="auto"/>
        </w:pBdr>
        <w:rPr>
          <w:b/>
          <w:bCs/>
        </w:rPr>
      </w:pPr>
      <w:r>
        <w:rPr>
          <w:b/>
          <w:bCs/>
        </w:rPr>
        <w:t>For fission technologies, key activities include SMRs/AMRs but also enabling activities such as innovative fuels uranium processing, waste management and decommissioning, and supply chain development. Regarding nuclear fusion, the focus extends to enabling technologies such as tritium breeding, high-temperature superconductivity, and advancement in both magnetic and alternative concept as inertial fusion reactor technologies. The non-energy applications activities focus on production of medical radioisotopes aiming for sustainable supply chain in Europe.</w:t>
      </w:r>
    </w:p>
    <w:p w14:paraId="31A2E8B6" w14:textId="77777777" w:rsidR="00026246" w:rsidRDefault="00026246">
      <w:pPr>
        <w:pBdr>
          <w:top w:val="single" w:sz="4" w:space="1" w:color="auto"/>
          <w:left w:val="single" w:sz="4" w:space="4" w:color="auto"/>
          <w:bottom w:val="single" w:sz="4" w:space="1" w:color="auto"/>
          <w:right w:val="single" w:sz="4" w:space="4" w:color="auto"/>
        </w:pBdr>
        <w:rPr>
          <w:b/>
          <w:bCs/>
        </w:rPr>
      </w:pPr>
    </w:p>
    <w:p w14:paraId="31A2E8B7" w14:textId="77777777" w:rsidR="00026246" w:rsidRDefault="00884217">
      <w:pPr>
        <w:pBdr>
          <w:top w:val="single" w:sz="4" w:space="1" w:color="auto"/>
          <w:left w:val="single" w:sz="4" w:space="4" w:color="auto"/>
          <w:bottom w:val="single" w:sz="4" w:space="1" w:color="auto"/>
          <w:right w:val="single" w:sz="4" w:space="4" w:color="auto"/>
        </w:pBdr>
        <w:rPr>
          <w:b/>
          <w:bCs/>
        </w:rPr>
      </w:pPr>
      <w:r>
        <w:rPr>
          <w:b/>
          <w:bCs/>
        </w:rPr>
        <w:t>Based on the feedback received from Member States in the pre-assessment phase, and the definition of the notion of infrastructure shared by DG COMP, the proposed IPCEI on Nuclear technologies would mainly cover R&amp;D&amp;I and FID</w:t>
      </w:r>
      <w:r>
        <w:rPr>
          <w:rStyle w:val="Odkaznapoznmkupodiarou"/>
          <w:b/>
          <w:bCs/>
        </w:rPr>
        <w:footnoteReference w:id="2"/>
      </w:r>
      <w:r>
        <w:rPr>
          <w:b/>
          <w:bCs/>
        </w:rPr>
        <w:t xml:space="preserve"> projects in line with point 22 to 24 of the IPCEI Communication, and </w:t>
      </w:r>
      <w:r>
        <w:rPr>
          <w:b/>
          <w:bCs/>
          <w:lang w:val="en-US"/>
        </w:rPr>
        <w:t>would address these main societal challenges</w:t>
      </w:r>
      <w:r>
        <w:rPr>
          <w:b/>
          <w:bCs/>
        </w:rPr>
        <w:t>.</w:t>
      </w:r>
    </w:p>
    <w:p w14:paraId="31A2E8B8" w14:textId="77777777" w:rsidR="00026246" w:rsidRDefault="00884217">
      <w:pPr>
        <w:pBdr>
          <w:top w:val="single" w:sz="4" w:space="1" w:color="auto"/>
          <w:left w:val="single" w:sz="4" w:space="4" w:color="auto"/>
          <w:bottom w:val="single" w:sz="4" w:space="1" w:color="auto"/>
          <w:right w:val="single" w:sz="4" w:space="4" w:color="auto"/>
        </w:pBdr>
        <w:rPr>
          <w:b/>
          <w:bCs/>
        </w:rPr>
      </w:pPr>
      <w:r>
        <w:rPr>
          <w:b/>
          <w:bCs/>
        </w:rPr>
        <w:t xml:space="preserve">Areas covered by the proposed IPCEI would include SMRs in the short-term, AMRs and nuclear fusion technologies in the medium or long-term. They would also include </w:t>
      </w:r>
      <w:r>
        <w:rPr>
          <w:b/>
          <w:bCs/>
        </w:rPr>
        <w:lastRenderedPageBreak/>
        <w:t xml:space="preserve">projects related to the fuel cycle, supply chains, and to the production of radioisotopes for medical purposes as a vital side-benefit of nuclear technologies. </w:t>
      </w:r>
    </w:p>
    <w:p w14:paraId="31A2E8B9" w14:textId="77777777" w:rsidR="00026246" w:rsidRDefault="00884217">
      <w:pPr>
        <w:pBdr>
          <w:top w:val="single" w:sz="4" w:space="1" w:color="auto"/>
          <w:left w:val="single" w:sz="4" w:space="4" w:color="auto"/>
          <w:bottom w:val="single" w:sz="4" w:space="1" w:color="auto"/>
          <w:right w:val="single" w:sz="4" w:space="4" w:color="auto"/>
        </w:pBdr>
        <w:rPr>
          <w:b/>
          <w:bCs/>
        </w:rPr>
      </w:pPr>
      <w:r>
        <w:rPr>
          <w:b/>
          <w:bCs/>
        </w:rPr>
        <w:t xml:space="preserve">The identified work fields include at this stage (i) Innovative nuclear power generation (SMR/AMR) and enabling activities, (ii) Uranium Processing and associated fuel Services, Waste management &amp; Decommissioning, (iii) Supply chain development, transformation and modernisation of industrial sites, (iv) Nuclear Fusion technologies, and (v) Production of radioisotopes for medical applications. Further work in the design phase will be needed to demonstrate the combination of both field-specific issues and possible intertwined technical challenges linked to the use of nuclear technologies. </w:t>
      </w:r>
    </w:p>
    <w:p w14:paraId="31A2E8BA" w14:textId="77777777" w:rsidR="00026246" w:rsidRDefault="00884217">
      <w:pPr>
        <w:pBdr>
          <w:top w:val="single" w:sz="4" w:space="1" w:color="auto"/>
          <w:left w:val="single" w:sz="4" w:space="4" w:color="auto"/>
          <w:bottom w:val="single" w:sz="4" w:space="1" w:color="auto"/>
          <w:right w:val="single" w:sz="4" w:space="4" w:color="auto"/>
        </w:pBdr>
        <w:rPr>
          <w:b/>
          <w:bCs/>
        </w:rPr>
      </w:pPr>
      <w:r>
        <w:rPr>
          <w:b/>
          <w:bCs/>
        </w:rPr>
        <w:t>As such, such an IPCEI would help in catalysing public and private investments into nuclear innovation and in enhancing the EU's nuclear ecosystem integration.</w:t>
      </w:r>
    </w:p>
    <w:bookmarkEnd w:id="0"/>
    <w:p w14:paraId="31A2E8BB" w14:textId="77777777" w:rsidR="00026246" w:rsidRDefault="00026246">
      <w:pPr>
        <w:rPr>
          <w:i/>
          <w:iCs/>
        </w:rPr>
      </w:pPr>
    </w:p>
    <w:tbl>
      <w:tblPr>
        <w:tblStyle w:val="Mriekatabuky"/>
        <w:tblW w:w="0" w:type="auto"/>
        <w:tblLook w:val="04A0" w:firstRow="1" w:lastRow="0" w:firstColumn="1" w:lastColumn="0" w:noHBand="0" w:noVBand="1"/>
      </w:tblPr>
      <w:tblGrid>
        <w:gridCol w:w="8602"/>
      </w:tblGrid>
      <w:tr w:rsidR="00026246" w14:paraId="31A2E8BD" w14:textId="77777777">
        <w:tc>
          <w:tcPr>
            <w:tcW w:w="8602" w:type="dxa"/>
            <w:tcBorders>
              <w:bottom w:val="single" w:sz="4" w:space="0" w:color="auto"/>
            </w:tcBorders>
            <w:shd w:val="clear" w:color="auto" w:fill="EDEDED" w:themeFill="accent3" w:themeFillTint="33"/>
          </w:tcPr>
          <w:p w14:paraId="31A2E8BC" w14:textId="77777777" w:rsidR="00026246" w:rsidRDefault="00884217">
            <w:pPr>
              <w:pStyle w:val="Nadpis1"/>
            </w:pPr>
            <w:r>
              <w:t>Overall description of the initiative</w:t>
            </w:r>
          </w:p>
        </w:tc>
      </w:tr>
      <w:tr w:rsidR="00026246" w14:paraId="31A2E8CC" w14:textId="77777777">
        <w:tc>
          <w:tcPr>
            <w:tcW w:w="8602" w:type="dxa"/>
            <w:tcBorders>
              <w:top w:val="single" w:sz="4" w:space="0" w:color="auto"/>
              <w:left w:val="single" w:sz="4" w:space="0" w:color="auto"/>
              <w:bottom w:val="single" w:sz="4" w:space="0" w:color="auto"/>
              <w:right w:val="single" w:sz="4" w:space="0" w:color="auto"/>
            </w:tcBorders>
          </w:tcPr>
          <w:p w14:paraId="31A2E8BE" w14:textId="77777777" w:rsidR="00026246" w:rsidRDefault="00884217">
            <w:pPr>
              <w:rPr>
                <w:i/>
                <w:iCs/>
              </w:rPr>
            </w:pPr>
            <w:r>
              <w:rPr>
                <w:i/>
                <w:iCs/>
              </w:rPr>
              <w:t xml:space="preserve">Please describe the overall planned area of intervention and the intended possible nature of policy intervention/projects. This could be linked either to specific technology, a value chain or a sector / value chain. </w:t>
            </w:r>
          </w:p>
          <w:p w14:paraId="31A2E8BF" w14:textId="77777777" w:rsidR="00026246" w:rsidRDefault="00884217">
            <w:pPr>
              <w:spacing w:after="0"/>
            </w:pPr>
            <w:r>
              <w:t xml:space="preserve">The integration of a non-energetical part into the ICPEI candidate on nuclear technologies is under study. One field of </w:t>
            </w:r>
            <w:bookmarkStart w:id="2" w:name="OLE_LINK3"/>
            <w:r>
              <w:t>non-energetical applications has been identified, namely the</w:t>
            </w:r>
            <w:r>
              <w:rPr>
                <w:b/>
                <w:bCs/>
              </w:rPr>
              <w:t xml:space="preserve"> medical applications of nuclear technologies</w:t>
            </w:r>
            <w:r>
              <w:t>,</w:t>
            </w:r>
            <w:bookmarkEnd w:id="2"/>
            <w:r>
              <w:t xml:space="preserve"> in particular research, development &amp; innovation of emerging medical radioisotopes which are analysed in this fiche.</w:t>
            </w:r>
          </w:p>
          <w:p w14:paraId="31A2E8C0" w14:textId="77777777" w:rsidR="00026246" w:rsidRDefault="00026246">
            <w:pPr>
              <w:spacing w:after="0"/>
              <w:rPr>
                <w:b/>
                <w:bCs/>
              </w:rPr>
            </w:pPr>
          </w:p>
          <w:p w14:paraId="31A2E8C1" w14:textId="77777777" w:rsidR="00026246" w:rsidRDefault="00884217">
            <w:pPr>
              <w:spacing w:after="0"/>
            </w:pPr>
            <w:r>
              <w:t xml:space="preserve">At the European level, there is a goal of </w:t>
            </w:r>
            <w:r>
              <w:rPr>
                <w:b/>
                <w:bCs/>
                <w:i/>
                <w:iCs/>
              </w:rPr>
              <w:t>equity in health-care delivery</w:t>
            </w:r>
            <w:r>
              <w:t xml:space="preserve">, which is defined as equal access to preventive, promotive, and curative health services to all the European citizens, irrespective of residence, gender, economic strata, and other factors. Cancer is the main cause of death and morbidity in Europe after cardiovascular diseases. According to the European Cancer Information System, </w:t>
            </w:r>
            <w:r>
              <w:rPr>
                <w:b/>
                <w:bCs/>
              </w:rPr>
              <w:t>each year 2.7 million people are diagnosed with cancer and 1.3 million lost their lives due to this disease in Europe</w:t>
            </w:r>
            <w:r>
              <w:t>. If no further action is taken, the number of people newly diagnosed will increase to more than 3.25 million by 2040.</w:t>
            </w:r>
          </w:p>
          <w:p w14:paraId="31A2E8C2" w14:textId="77777777" w:rsidR="00026246" w:rsidRDefault="00026246">
            <w:pPr>
              <w:spacing w:after="0"/>
            </w:pPr>
          </w:p>
          <w:p w14:paraId="31A2E8C3" w14:textId="77777777" w:rsidR="00026246" w:rsidRDefault="00884217">
            <w:pPr>
              <w:spacing w:after="0" w:line="257" w:lineRule="auto"/>
              <w:ind w:left="-20" w:right="-20"/>
            </w:pPr>
            <w:r>
              <w:t xml:space="preserve">There is an urgent need to </w:t>
            </w:r>
            <w:r>
              <w:rPr>
                <w:b/>
                <w:bCs/>
              </w:rPr>
              <w:t>fully leverage the capabilities of</w:t>
            </w:r>
            <w:r>
              <w:rPr>
                <w:b/>
                <w:bCs/>
                <w:color w:val="000000" w:themeColor="text1"/>
              </w:rPr>
              <w:t xml:space="preserve"> existing and </w:t>
            </w:r>
            <w:r>
              <w:rPr>
                <w:b/>
                <w:bCs/>
              </w:rPr>
              <w:t>emerging nuclear technologies</w:t>
            </w:r>
            <w:r>
              <w:t xml:space="preserve"> and insights, strengthen cooperation and opportunities between academia and industry in research and clinical practice, </w:t>
            </w:r>
            <w:r>
              <w:rPr>
                <w:b/>
                <w:bCs/>
                <w:i/>
                <w:iCs/>
              </w:rPr>
              <w:t>to reduce the disparities in access to cancer-related knowledge</w:t>
            </w:r>
            <w:r>
              <w:t xml:space="preserve">, prevention, diagnosis, and treatment while striving to improve health outcomes for patients. While diagnosis and imaging techniques using radionuclides are well-established (SPECT, PET) strong growth of Nuclear Medicine is expected, essentially driven by the therapeutic radiopharmaceuticals (RP) uptake. Innovative therapeutic approaches in oncology include radioimmunotherapy and targeted radionuclide therapy, requiring production of increased amounts of </w:t>
            </w:r>
            <w:r>
              <w:rPr>
                <w:b/>
                <w:bCs/>
              </w:rPr>
              <w:t xml:space="preserve">therapeutic radionuclides (RI) </w:t>
            </w:r>
            <w:r>
              <w:t xml:space="preserve">in pharmaceutical quality. This can only be achieved by a </w:t>
            </w:r>
            <w:r>
              <w:rPr>
                <w:b/>
                <w:bCs/>
                <w:i/>
                <w:iCs/>
              </w:rPr>
              <w:t>prospective strategic support of the production installations in the EU</w:t>
            </w:r>
            <w:r>
              <w:t xml:space="preserve"> to fulfil the EU </w:t>
            </w:r>
            <w:proofErr w:type="spellStart"/>
            <w:r>
              <w:t>citizens’needs</w:t>
            </w:r>
            <w:proofErr w:type="spellEnd"/>
            <w:r>
              <w:t xml:space="preserve"> to the largest extent, aiming to:</w:t>
            </w:r>
          </w:p>
          <w:p w14:paraId="31A2E8C4" w14:textId="77777777" w:rsidR="00026246" w:rsidRDefault="00884217">
            <w:pPr>
              <w:pStyle w:val="Odsekzoznamu"/>
              <w:numPr>
                <w:ilvl w:val="0"/>
                <w:numId w:val="25"/>
              </w:numPr>
              <w:spacing w:after="0" w:line="257" w:lineRule="auto"/>
              <w:ind w:right="-20"/>
            </w:pPr>
            <w:r>
              <w:lastRenderedPageBreak/>
              <w:t xml:space="preserve">develop and industrialize (FID) of the </w:t>
            </w:r>
            <w:r>
              <w:rPr>
                <w:b/>
                <w:bCs/>
              </w:rPr>
              <w:t>new technologies</w:t>
            </w:r>
            <w:r>
              <w:t xml:space="preserve"> for the production of therapeutic RIs and RPs and innovate the existing ones;</w:t>
            </w:r>
          </w:p>
          <w:p w14:paraId="31A2E8C5" w14:textId="77777777" w:rsidR="00026246" w:rsidRDefault="00884217">
            <w:pPr>
              <w:pStyle w:val="Odsekzoznamu"/>
              <w:numPr>
                <w:ilvl w:val="0"/>
                <w:numId w:val="25"/>
              </w:numPr>
              <w:spacing w:after="0" w:line="257" w:lineRule="auto"/>
              <w:ind w:right="-20"/>
            </w:pPr>
            <w:r>
              <w:t xml:space="preserve">improvements in the production of therapeutic RIs and RPs through medical cyclotrons (in EU27) by development and innovation in </w:t>
            </w:r>
            <w:proofErr w:type="spellStart"/>
            <w:r>
              <w:t>targetry</w:t>
            </w:r>
            <w:proofErr w:type="spellEnd"/>
            <w:r>
              <w:t xml:space="preserve">, materials, automation and process </w:t>
            </w:r>
            <w:proofErr w:type="spellStart"/>
            <w:proofErr w:type="gramStart"/>
            <w:r>
              <w:t>control;coordinated</w:t>
            </w:r>
            <w:proofErr w:type="spellEnd"/>
            <w:proofErr w:type="gramEnd"/>
            <w:r>
              <w:t xml:space="preserve"> production projects for RI </w:t>
            </w:r>
            <w:proofErr w:type="spellStart"/>
            <w:r>
              <w:t>alternativenor</w:t>
            </w:r>
            <w:proofErr w:type="spellEnd"/>
            <w:r>
              <w:t xml:space="preserve"> </w:t>
            </w:r>
            <w:proofErr w:type="gramStart"/>
            <w:r>
              <w:t>improved  production</w:t>
            </w:r>
            <w:proofErr w:type="gramEnd"/>
            <w:r>
              <w:t xml:space="preserve"> routes,), with strong research, development and innovative components, on the full length of the process: targets, nuclear fuel, radioactive waste treatment, radiochemical processing and pharmaceutical preclinical development;</w:t>
            </w:r>
          </w:p>
          <w:p w14:paraId="31A2E8C6" w14:textId="77777777" w:rsidR="00026246" w:rsidRDefault="00884217">
            <w:pPr>
              <w:pStyle w:val="Odsekzoznamu"/>
              <w:numPr>
                <w:ilvl w:val="0"/>
                <w:numId w:val="25"/>
              </w:numPr>
              <w:spacing w:after="0" w:line="257" w:lineRule="auto"/>
              <w:ind w:right="-20"/>
            </w:pPr>
            <w:r>
              <w:t>support for research nuclear reactors as an essential link in the supply chain and reinforcement of neutron-routes production when applicable;</w:t>
            </w:r>
          </w:p>
          <w:p w14:paraId="31A2E8C7" w14:textId="77777777" w:rsidR="00026246" w:rsidRDefault="00884217">
            <w:pPr>
              <w:pStyle w:val="Odsekzoznamu"/>
              <w:numPr>
                <w:ilvl w:val="0"/>
                <w:numId w:val="25"/>
              </w:numPr>
              <w:spacing w:after="0" w:line="257" w:lineRule="auto"/>
              <w:ind w:right="-20"/>
            </w:pPr>
            <w:r>
              <w:t>mitigate EU dependence on foreign supplies of stable isotopes (targets) and promote robust domestic supply chains for EU economic resilience.</w:t>
            </w:r>
          </w:p>
          <w:p w14:paraId="31A2E8C8" w14:textId="77777777" w:rsidR="00026246" w:rsidRDefault="00026246">
            <w:pPr>
              <w:spacing w:after="0" w:line="257" w:lineRule="auto"/>
              <w:ind w:right="-20"/>
            </w:pPr>
          </w:p>
          <w:p w14:paraId="31A2E8C9" w14:textId="77777777" w:rsidR="00026246" w:rsidRDefault="00884217">
            <w:pPr>
              <w:spacing w:after="0" w:line="257" w:lineRule="auto"/>
              <w:ind w:left="-20" w:right="-20"/>
              <w:rPr>
                <w:b/>
                <w:bCs/>
              </w:rPr>
            </w:pPr>
            <w:r>
              <w:t xml:space="preserve">Although there are preclinical and clinical research ongoing on therapeutic radiopharmaceuticals, the implementation of targeted radiopharmaceutical therapies still faces several challenges due to a variety of factors: </w:t>
            </w:r>
            <w:r>
              <w:rPr>
                <w:b/>
                <w:bCs/>
              </w:rPr>
              <w:t>insufficiency of medical radionuclides</w:t>
            </w:r>
            <w:r>
              <w:t xml:space="preserve"> for research and clinical purposes, </w:t>
            </w:r>
            <w:r>
              <w:rPr>
                <w:b/>
                <w:bCs/>
              </w:rPr>
              <w:t>limited production capacity</w:t>
            </w:r>
            <w:r>
              <w:t xml:space="preserve">, hindered translation from lab to clinical trials (related to both regulatory aspects and infrastructure capacities, aging of existing facilities, delays in delivery and uncertainties on the overall supply chain). </w:t>
            </w:r>
            <w:r>
              <w:rPr>
                <w:b/>
                <w:bCs/>
                <w:i/>
                <w:iCs/>
              </w:rPr>
              <w:t>It needs concerted efforts to address these issues, with the contribution of industrials, researchers, pharmaceutical manufacturers, clinical research companies, regulators, public authorities and societal actors, such as patients' organizations.</w:t>
            </w:r>
          </w:p>
          <w:p w14:paraId="31A2E8CA" w14:textId="77777777" w:rsidR="00026246" w:rsidRDefault="00026246">
            <w:pPr>
              <w:spacing w:after="0"/>
            </w:pPr>
          </w:p>
          <w:p w14:paraId="31A2E8CB" w14:textId="77777777" w:rsidR="00026246" w:rsidRDefault="00884217">
            <w:pPr>
              <w:spacing w:after="0" w:line="257" w:lineRule="auto"/>
              <w:ind w:right="-20"/>
            </w:pPr>
            <w:r>
              <w:rPr>
                <w:b/>
                <w:bCs/>
              </w:rPr>
              <w:t xml:space="preserve">Nuclear medicine </w:t>
            </w:r>
            <w:r>
              <w:t xml:space="preserve">uses trace amounts of radiolabelled molecules, RP, that allow the non-invasive real-time visualization of biochemical processes, at the cellular and molecular levels. Over the last few years, it has experienced substantial developments and innovations, having nowadays a clearly defined role in clinical oncology for patient prognosis, risk-stratification, staging, molecular-based diagnosis, pre-therapeutic dosimetry, monitoring of treatment response and early detection of residual disease. Nuclear medicine has gained a significant role also in cancer treatment, based on the use of so-called therapeutic RI, mainly ionizing radioisotopes (Auger electrons, beta and alpha emitters) which surpasses other methods by </w:t>
            </w:r>
            <w:r>
              <w:rPr>
                <w:i/>
                <w:iCs/>
              </w:rPr>
              <w:t>in-situ</w:t>
            </w:r>
            <w:r>
              <w:t xml:space="preserve"> delivery of highly effective radiation to tumoral cells, by the use of specific radiopharmaceuticals. </w:t>
            </w:r>
            <w:r>
              <w:rPr>
                <w:b/>
                <w:bCs/>
              </w:rPr>
              <w:t>Targeted radionuclide</w:t>
            </w:r>
            <w:r>
              <w:t xml:space="preserve"> </w:t>
            </w:r>
            <w:r>
              <w:rPr>
                <w:b/>
                <w:bCs/>
              </w:rPr>
              <w:t xml:space="preserve">therapy </w:t>
            </w:r>
            <w:r>
              <w:t xml:space="preserve">gained major relevance with the EMA’s approval of </w:t>
            </w:r>
            <w:proofErr w:type="spellStart"/>
            <w:r>
              <w:t>Lutathera</w:t>
            </w:r>
            <w:proofErr w:type="spellEnd"/>
            <w:r>
              <w:t>® ([</w:t>
            </w:r>
            <w:r>
              <w:rPr>
                <w:vertAlign w:val="superscript"/>
              </w:rPr>
              <w:t>177</w:t>
            </w:r>
            <w:proofErr w:type="gramStart"/>
            <w:r>
              <w:t>Lu]Lu</w:t>
            </w:r>
            <w:proofErr w:type="gramEnd"/>
            <w:r>
              <w:t xml:space="preserve">-DOTA-TATE) for the treatment of somatostatin receptor (SSTR) positive neuroendocrine tumours, in Europe in 2017. </w:t>
            </w:r>
            <w:proofErr w:type="spellStart"/>
            <w:r>
              <w:t>Lutathera</w:t>
            </w:r>
            <w:proofErr w:type="spellEnd"/>
            <w:r>
              <w:t>® was also approved by the FDA and Canada Health in 2018 and 2019, respectively. This tracer combines a nuclear reactor-produced radionuclide (</w:t>
            </w:r>
            <w:r>
              <w:rPr>
                <w:b/>
                <w:bCs/>
                <w:i/>
                <w:iCs/>
              </w:rPr>
              <w:t>lutetium-177</w:t>
            </w:r>
            <w:r>
              <w:t xml:space="preserve">) and a peptide that specifically binds to a specific receptor, which is upregulated to a high concentration on tumour cells and at low physiological levels on normal tissues, delivering cytotoxic radiation only to tumour tissues. While demand of RI is generally expected to grow, the success of </w:t>
            </w:r>
            <w:proofErr w:type="spellStart"/>
            <w:r>
              <w:t>Pluvicto</w:t>
            </w:r>
            <w:proofErr w:type="spellEnd"/>
            <w:r>
              <w:t xml:space="preserve">® for the treatment of prostate cancer patients significantly increases the demand for Lu-177.  </w:t>
            </w:r>
            <w:r>
              <w:rPr>
                <w:vertAlign w:val="superscript"/>
              </w:rPr>
              <w:t>177</w:t>
            </w:r>
            <w:r>
              <w:t>Lu is deemed to stay the radionuclide workhorse for these RPs for the next decade, as the radionuclide of choice in tens of on-going clinical studies (</w:t>
            </w:r>
            <w:r>
              <w:rPr>
                <w:i/>
                <w:iCs/>
              </w:rPr>
              <w:t>source:</w:t>
            </w:r>
            <w:r>
              <w:t xml:space="preserve"> pipelines and the clinical trials databases, e.g. https://clinicaltrials.gov/), therefore its production capacity in Europe needs to be enhanced and supported by the industrial sector assuring robust </w:t>
            </w:r>
            <w:r>
              <w:lastRenderedPageBreak/>
              <w:t>domestic supply chains for EU economic resilience. Forecasting reliably of other medical isotopes needs and supply capacities is necessary to underpin investment and support decision-making in the quickly changing Nuclear Medicine landscape. Medical RIs, whose value in oncology therapy has already been proven, hindered by limited availability (i.e. due to the lack of or high cost of enriched target materials for their production, currently largely available only from Russian sources), include among others: terbium-161, copper-64/67, astatine-211, actinium-225 or scandium-47</w:t>
            </w:r>
            <w:r>
              <w:rPr>
                <w:strike/>
              </w:rPr>
              <w:t>.</w:t>
            </w:r>
            <w:r>
              <w:t xml:space="preserve"> To assure European autonomy for the supply of stable isotopes gadolinium-160 (for production of terbium-161) and ytterbium-176 (for production of lutetium-177) Europe needs to set up its own production capability. The IPCEI aims to ensure the supply of therapeutic medical radioisotopes, in pharmaceutical grade, for clinical research and radiopharmaceutical production, as well as global leadership in nuclear applications for societal benefits, with </w:t>
            </w:r>
            <w:r>
              <w:rPr>
                <w:b/>
              </w:rPr>
              <w:t>focus on medical RI production</w:t>
            </w:r>
            <w:r>
              <w:t>.</w:t>
            </w:r>
            <w:r>
              <w:rPr>
                <w:rFonts w:ascii="Roboto" w:hAnsi="Roboto"/>
                <w:color w:val="111111"/>
                <w:sz w:val="27"/>
                <w:szCs w:val="27"/>
              </w:rPr>
              <w:t xml:space="preserve"> </w:t>
            </w:r>
            <w:r>
              <w:t>To recall the commitment of the European Union to provide citizens with equal access to high level healthcare, the IPCEI enforces the global effort of the research community, civil nuclear sector, industrial partners, regulators and other actors for a sustainable production of RI for medical diagnosis and therapy.</w:t>
            </w:r>
          </w:p>
        </w:tc>
      </w:tr>
      <w:tr w:rsidR="00026246" w14:paraId="31A2E8CE" w14:textId="77777777">
        <w:tc>
          <w:tcPr>
            <w:tcW w:w="8602" w:type="dxa"/>
            <w:tcBorders>
              <w:top w:val="single" w:sz="4" w:space="0" w:color="auto"/>
              <w:left w:val="nil"/>
              <w:bottom w:val="single" w:sz="4" w:space="0" w:color="auto"/>
              <w:right w:val="nil"/>
            </w:tcBorders>
          </w:tcPr>
          <w:p w14:paraId="31A2E8CD" w14:textId="77777777" w:rsidR="00026246" w:rsidRDefault="00026246">
            <w:pPr>
              <w:rPr>
                <w:i/>
                <w:iCs/>
              </w:rPr>
            </w:pPr>
          </w:p>
        </w:tc>
      </w:tr>
      <w:tr w:rsidR="00026246" w14:paraId="31A2E8D0" w14:textId="77777777">
        <w:tc>
          <w:tcPr>
            <w:tcW w:w="860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1A2E8CF" w14:textId="77777777" w:rsidR="00026246" w:rsidRDefault="00884217">
            <w:pPr>
              <w:pStyle w:val="Nadpis1"/>
            </w:pPr>
            <w:r>
              <w:t xml:space="preserve">Political and industrial policy objectives </w:t>
            </w:r>
          </w:p>
        </w:tc>
      </w:tr>
      <w:tr w:rsidR="00026246" w14:paraId="31A2E915" w14:textId="77777777">
        <w:tc>
          <w:tcPr>
            <w:tcW w:w="8602" w:type="dxa"/>
            <w:tcBorders>
              <w:top w:val="single" w:sz="4" w:space="0" w:color="auto"/>
              <w:left w:val="single" w:sz="4" w:space="0" w:color="auto"/>
              <w:bottom w:val="single" w:sz="4" w:space="0" w:color="auto"/>
              <w:right w:val="single" w:sz="4" w:space="0" w:color="auto"/>
            </w:tcBorders>
          </w:tcPr>
          <w:p w14:paraId="31A2E8D1" w14:textId="77777777" w:rsidR="00026246" w:rsidRDefault="00884217">
            <w:pPr>
              <w:rPr>
                <w:i/>
                <w:iCs/>
              </w:rPr>
            </w:pPr>
            <w:r>
              <w:rPr>
                <w:i/>
                <w:iCs/>
              </w:rPr>
              <w:t>This section aims at assessing the key policy objectives of the initiative from an economic, industrial and research objectives.</w:t>
            </w:r>
          </w:p>
          <w:p w14:paraId="31A2E8D2" w14:textId="77777777" w:rsidR="00026246" w:rsidRDefault="00884217">
            <w:pPr>
              <w:pStyle w:val="Nadpis2"/>
              <w:numPr>
                <w:ilvl w:val="0"/>
                <w:numId w:val="0"/>
              </w:numPr>
              <w:ind w:left="1077" w:hanging="595"/>
            </w:pPr>
            <w:r>
              <w:t xml:space="preserve">2.1. What is the problem that the initiative aims at solving?  What is the “cause” of the intervention and why is it important? </w:t>
            </w:r>
          </w:p>
          <w:p w14:paraId="31A2E8D3" w14:textId="77777777" w:rsidR="00026246" w:rsidRDefault="00884217">
            <w:pPr>
              <w:spacing w:after="0"/>
              <w:rPr>
                <w:color w:val="2E74B5" w:themeColor="accent5" w:themeShade="BF"/>
              </w:rPr>
            </w:pPr>
            <w:r>
              <w:t>The 2022 cancer estimates show that breast, colorectal, cervical, prostate, lung and gastric cancers account for 54.2% of all new cancer cases and 50.2% of cancer deaths in the EU. (Ref ECIS). In Europe, the overall economic impact of cancer is estimated to exceed €100 billion annually (Ref Europe’s Beating Cancer Plan).</w:t>
            </w:r>
          </w:p>
          <w:p w14:paraId="31A2E8D4" w14:textId="77777777" w:rsidR="00026246" w:rsidRDefault="00884217">
            <w:pPr>
              <w:spacing w:after="0"/>
            </w:pPr>
            <w:r>
              <w:t xml:space="preserve">Indeed, there has been major progress in cancer diagnosis and treatment. </w:t>
            </w:r>
            <w:r>
              <w:rPr>
                <w:b/>
                <w:bCs/>
              </w:rPr>
              <w:t>Personalised medicine, research and innovation, technologies,</w:t>
            </w:r>
            <w:r>
              <w:t xml:space="preserve"> alongside digital technologies, have dramatically advanced our understanding of cancer initiation and progression, prevention and diagnosis. Nevertheless, </w:t>
            </w:r>
            <w:r>
              <w:rPr>
                <w:b/>
                <w:bCs/>
                <w:i/>
                <w:iCs/>
              </w:rPr>
              <w:t>the chances of receiving a timely cancer diagnosis, in early stage, and of surviving the disease, differ considerably across Europe due to inequalities in preventive policies, access to state-of-the art diagnostics and treatments, and experienced care</w:t>
            </w:r>
            <w:r>
              <w:t>.</w:t>
            </w:r>
          </w:p>
          <w:p w14:paraId="31A2E8D5" w14:textId="77777777" w:rsidR="00026246" w:rsidRDefault="00884217">
            <w:r>
              <w:t xml:space="preserve">Nowadays, there is an urgent need to fully leverage the capabilities of existing and emerging technologies. Besides all cancer research and innovation, </w:t>
            </w:r>
            <w:r>
              <w:rPr>
                <w:b/>
                <w:bCs/>
              </w:rPr>
              <w:t xml:space="preserve">knowledge transfer through all stakeholders </w:t>
            </w:r>
            <w:r>
              <w:t xml:space="preserve">is of most importance. </w:t>
            </w:r>
          </w:p>
          <w:p w14:paraId="31A2E8D6" w14:textId="77777777" w:rsidR="00026246" w:rsidRDefault="00884217">
            <w:r>
              <w:t>In the European Union, medical radioisotopes are primarily produced in the following types of facilities:</w:t>
            </w:r>
          </w:p>
          <w:p w14:paraId="31A2E8D7" w14:textId="77777777" w:rsidR="00026246" w:rsidRDefault="00884217">
            <w:pPr>
              <w:pStyle w:val="Normlnywebov"/>
              <w:numPr>
                <w:ilvl w:val="0"/>
                <w:numId w:val="27"/>
              </w:numPr>
              <w:spacing w:before="0" w:beforeAutospacing="0" w:after="0" w:afterAutospacing="0"/>
              <w:jc w:val="both"/>
            </w:pPr>
            <w:r>
              <w:rPr>
                <w:rStyle w:val="Vrazn"/>
              </w:rPr>
              <w:t>Research Reactors</w:t>
            </w:r>
            <w:r>
              <w:t xml:space="preserve"> are used to irradiate targets containing source materials to produce medical isotopes like molybdenum-99 (the parent of technetium-99m), iodine-131, rhenium-186, or luthetium-177. Examples of research reactors include the BR2 in Belgium (1961, 60 yrs old), MARIA in Poland (1974, 50 yrs old), the HFR in the Netherlands (1961, 60 yrs old); the major research reactors </w:t>
            </w:r>
            <w:r>
              <w:lastRenderedPageBreak/>
              <w:t xml:space="preserve">were initially </w:t>
            </w:r>
            <w:r>
              <w:rPr>
                <w:color w:val="1D2228"/>
              </w:rPr>
              <w:t>designed for a lifetime of 30 years, while operation extension have been granted until 2030, but excluding potential technical failures that would prevent continuing operation. This situation is not sustainable. Action is urgently needed taking into account the necessary time for licencing and construction.</w:t>
            </w:r>
          </w:p>
          <w:p w14:paraId="31A2E8D8" w14:textId="77777777" w:rsidR="00026246" w:rsidRDefault="00884217">
            <w:pPr>
              <w:pStyle w:val="Normlnywebov"/>
              <w:numPr>
                <w:ilvl w:val="0"/>
                <w:numId w:val="27"/>
              </w:numPr>
              <w:spacing w:before="0" w:beforeAutospacing="0" w:after="0" w:afterAutospacing="0"/>
              <w:jc w:val="both"/>
            </w:pPr>
            <w:r>
              <w:rPr>
                <w:rStyle w:val="Vrazn"/>
              </w:rPr>
              <w:t>Cyclotrons</w:t>
            </w:r>
            <w:r>
              <w:t xml:space="preserve"> are particle accelerators that produce radioisotopes by bombarding targets with protons, deuterons or alpha particles. These facilities are used to produce medical radioisotopes such as carbon-11, fluorine-18, scandium-44/47, manganese-52, copper-61/62/64/67, zirconium-89, astatine-211, actinium-225;</w:t>
            </w:r>
          </w:p>
          <w:p w14:paraId="31A2E8D9" w14:textId="77777777" w:rsidR="00026246" w:rsidRDefault="00884217">
            <w:pPr>
              <w:pStyle w:val="Normlnywebov"/>
              <w:numPr>
                <w:ilvl w:val="0"/>
                <w:numId w:val="27"/>
              </w:numPr>
              <w:spacing w:before="0" w:beforeAutospacing="0" w:after="0" w:afterAutospacing="0"/>
              <w:jc w:val="both"/>
              <w:rPr>
                <w:b/>
                <w:bCs/>
              </w:rPr>
            </w:pPr>
            <w:r>
              <w:rPr>
                <w:rStyle w:val="Vrazn"/>
              </w:rPr>
              <w:t xml:space="preserve">Linear accelerators </w:t>
            </w:r>
            <w:r>
              <w:rPr>
                <w:rStyle w:val="Vrazn"/>
                <w:b w:val="0"/>
                <w:bCs w:val="0"/>
              </w:rPr>
              <w:t>can be used to produce RIs, the technology for copper-67 or actinium-225 is already in place;</w:t>
            </w:r>
          </w:p>
          <w:p w14:paraId="31A2E8DA" w14:textId="77777777" w:rsidR="00026246" w:rsidRDefault="00884217">
            <w:pPr>
              <w:pStyle w:val="Normlnywebov"/>
              <w:numPr>
                <w:ilvl w:val="0"/>
                <w:numId w:val="27"/>
              </w:numPr>
              <w:spacing w:before="0" w:beforeAutospacing="0" w:after="0" w:afterAutospacing="0"/>
              <w:jc w:val="both"/>
            </w:pPr>
            <w:r>
              <w:rPr>
                <w:rStyle w:val="Vrazn"/>
              </w:rPr>
              <w:t xml:space="preserve">Processing and Separation Facilities </w:t>
            </w:r>
            <w:r>
              <w:t>After production in reactors or cyclotrons, RIs are purified and processed into usable forms, in specialized (radio)chemical processing laboratories. Furthermore, the RIs is translated into RPs by complex synthesis, in pharmaceutical compliant laboratories (EU-cGMP licenced).</w:t>
            </w:r>
          </w:p>
          <w:p w14:paraId="31A2E8DB" w14:textId="77777777" w:rsidR="00026246" w:rsidRDefault="00884217">
            <w:pPr>
              <w:pStyle w:val="yiv2808125318msonormal"/>
              <w:numPr>
                <w:ilvl w:val="0"/>
                <w:numId w:val="27"/>
              </w:numPr>
              <w:shd w:val="clear" w:color="auto" w:fill="FFFFFF"/>
              <w:spacing w:before="0" w:beforeAutospacing="0" w:after="240" w:afterAutospacing="0"/>
              <w:jc w:val="both"/>
              <w:rPr>
                <w:color w:val="1D2228"/>
              </w:rPr>
            </w:pPr>
            <w:r>
              <w:rPr>
                <w:color w:val="1D2228"/>
              </w:rPr>
              <w:t xml:space="preserve">The availability of medical RIs also depends on a </w:t>
            </w:r>
            <w:r>
              <w:rPr>
                <w:b/>
                <w:bCs/>
                <w:color w:val="1D2228"/>
              </w:rPr>
              <w:t>supply chain</w:t>
            </w:r>
            <w:r>
              <w:rPr>
                <w:color w:val="1D2228"/>
              </w:rPr>
              <w:t xml:space="preserve">, which include criticality of raw and enriched source materials, in the form of </w:t>
            </w:r>
            <w:r>
              <w:rPr>
                <w:color w:val="1D2228"/>
                <w:shd w:val="clear" w:color="auto" w:fill="FFFFFF"/>
              </w:rPr>
              <w:t xml:space="preserve">strong EU dependence on RU </w:t>
            </w:r>
            <w:r>
              <w:rPr>
                <w:color w:val="1D2228"/>
                <w:shd w:val="clear" w:color="auto" w:fill="FFFFFF"/>
                <w:lang w:val="ro-RO"/>
              </w:rPr>
              <w:t>(i.e.</w:t>
            </w:r>
            <w:r>
              <w:rPr>
                <w:color w:val="1D2228"/>
                <w:shd w:val="clear" w:color="auto" w:fill="FFFFFF"/>
              </w:rPr>
              <w:t xml:space="preserve"> ytterbium-176,</w:t>
            </w:r>
            <w:r>
              <w:rPr>
                <w:color w:val="1D2228"/>
                <w:shd w:val="clear" w:color="auto" w:fill="FFFFFF"/>
                <w:lang w:val="ro-RO"/>
              </w:rPr>
              <w:t xml:space="preserve"> molybdenum-100</w:t>
            </w:r>
            <w:r>
              <w:rPr>
                <w:color w:val="1D2228"/>
                <w:shd w:val="clear" w:color="auto" w:fill="FFFFFF"/>
              </w:rPr>
              <w:t xml:space="preserve"> cannot be produced</w:t>
            </w:r>
            <w:r>
              <w:rPr>
                <w:color w:val="1D2228"/>
                <w:shd w:val="clear" w:color="auto" w:fill="FFFFFF"/>
                <w:lang w:val="ro-RO"/>
              </w:rPr>
              <w:t xml:space="preserve"> yet</w:t>
            </w:r>
            <w:r>
              <w:rPr>
                <w:color w:val="1D2228"/>
                <w:shd w:val="clear" w:color="auto" w:fill="FFFFFF"/>
              </w:rPr>
              <w:t xml:space="preserve"> using the available technology and the isotope separation plants in the EU</w:t>
            </w:r>
            <w:r>
              <w:rPr>
                <w:color w:val="1D2228"/>
                <w:shd w:val="clear" w:color="auto" w:fill="FFFFFF"/>
                <w:lang w:val="ro-RO"/>
              </w:rPr>
              <w:t xml:space="preserve">).   </w:t>
            </w:r>
            <w:r>
              <w:rPr>
                <w:color w:val="1D2228"/>
                <w:shd w:val="clear" w:color="auto" w:fill="FFFFFF"/>
              </w:rPr>
              <w:t xml:space="preserve"> </w:t>
            </w:r>
            <w:r>
              <w:rPr>
                <w:color w:val="1D2228"/>
                <w:shd w:val="clear" w:color="auto" w:fill="FFFFFF"/>
                <w:lang w:val="ro-RO"/>
              </w:rPr>
              <w:t>I</w:t>
            </w:r>
            <w:proofErr w:type="spellStart"/>
            <w:r>
              <w:rPr>
                <w:color w:val="1D2228"/>
              </w:rPr>
              <w:t>rradiation</w:t>
            </w:r>
            <w:proofErr w:type="spellEnd"/>
            <w:r>
              <w:rPr>
                <w:color w:val="1D2228"/>
              </w:rPr>
              <w:t>, and target processing are other major components of the chain, before radiopharmaceutical production.</w:t>
            </w:r>
          </w:p>
          <w:p w14:paraId="31A2E8DC" w14:textId="77777777" w:rsidR="00026246" w:rsidRDefault="00884217">
            <w:pPr>
              <w:pStyle w:val="Normlnywebov"/>
              <w:spacing w:before="0" w:beforeAutospacing="0" w:after="240" w:afterAutospacing="0"/>
              <w:jc w:val="both"/>
            </w:pPr>
            <w:r>
              <w:t>The perspective of producing medical isotopes in large scale reactors is being examined by Romania, using the CANDU technology (similar to projects in Canada and South Korea, with certain adjustments needed). The nuclear operator in Romania, Nuclearelectrica, recently entered into a cooperation agreement with Framatome for the production of Lutetium-177 at Cernavoda nuclear power plant, as of 2028.</w:t>
            </w:r>
          </w:p>
          <w:p w14:paraId="31A2E8DD" w14:textId="77777777" w:rsidR="00026246" w:rsidRDefault="00884217">
            <w:pPr>
              <w:pStyle w:val="Normlnywebov"/>
              <w:spacing w:before="0" w:beforeAutospacing="0" w:after="240" w:afterAutospacing="0"/>
              <w:jc w:val="both"/>
            </w:pPr>
            <w:r>
              <w:t>Research reactors (RRs) will remain crucial for the continuing production of blockbuster RIs such as molybdenum-99, iodine-131, and also continue to be needed to stabilise the production of lutetium-177 even if part of its production switches to power reactors. RRs will continue to play key role in R&amp;D for medical radioisotopes; however, the operation of research reactors for the production of radioisotopes cannot be sustained by individual member states if the high-value productions are moved to commercial operations.</w:t>
            </w:r>
          </w:p>
          <w:p w14:paraId="31A2E8DE" w14:textId="77777777" w:rsidR="00026246" w:rsidRDefault="00884217">
            <w:pPr>
              <w:pStyle w:val="Normlnywebov"/>
              <w:jc w:val="both"/>
            </w:pPr>
            <w:r>
              <w:t>As highlighted by the EC report “Co-ordinated Approach to the Development and Supply of Radionuclides in the EU”</w:t>
            </w:r>
            <w:r>
              <w:rPr>
                <w:rStyle w:val="Odkaznapoznmkupodiarou"/>
              </w:rPr>
              <w:footnoteReference w:id="3"/>
            </w:r>
            <w:r>
              <w:t xml:space="preserve">, if reduction of EU reliance on foreign supply is targeted, new investments are necessary in boosting EU production capacity for medical radioisotopes, as the capability of existing installations to fulfil EU needs will deteriorate seriously. Indeed, current cyclotrons fleet will be unable to supply emerging PET and therapeutic radioisotopes needs. From 2035 onward, depending on the life extension possibilities of BR2, HFR, Maria and LVR15, research reactor production capacities are at risk. From 2040, the risk is only RJH and FRMII will remain online if no new large installations are built. Their capacities are unable to cover fully EU needs, not only for </w:t>
            </w:r>
            <w:r>
              <w:rPr>
                <w:vertAlign w:val="superscript"/>
              </w:rPr>
              <w:t>99</w:t>
            </w:r>
            <w:r>
              <w:t xml:space="preserve">Mo, but overall, for essential therapeutic β-emitters nuclides such as </w:t>
            </w:r>
            <w:r>
              <w:rPr>
                <w:vertAlign w:val="superscript"/>
              </w:rPr>
              <w:t>177</w:t>
            </w:r>
            <w:r>
              <w:t xml:space="preserve">Lu, </w:t>
            </w:r>
            <w:r>
              <w:rPr>
                <w:vertAlign w:val="superscript"/>
              </w:rPr>
              <w:t>131</w:t>
            </w:r>
            <w:r>
              <w:t>I, etc.</w:t>
            </w:r>
          </w:p>
          <w:p w14:paraId="31A2E8DF" w14:textId="77777777" w:rsidR="00026246" w:rsidRDefault="00884217">
            <w:pPr>
              <w:pStyle w:val="Normlnywebov"/>
              <w:spacing w:before="0" w:beforeAutospacing="0" w:after="240" w:afterAutospacing="0"/>
              <w:jc w:val="both"/>
            </w:pPr>
            <w:r>
              <w:t xml:space="preserve">Another critical aspect is the supply of nuclear fuel for research reactors. HALEU represents enriched nuclear fuel between 5% and 20% uranium-235. Currently, HALEU </w:t>
            </w:r>
            <w:r>
              <w:lastRenderedPageBreak/>
              <w:t xml:space="preserve">is produced in Russia, China and US (which anticipates shortages after 2030). There are plans to develop production facilities in the UK, to be operational after 2031. </w:t>
            </w:r>
          </w:p>
          <w:p w14:paraId="31A2E8E0" w14:textId="77777777" w:rsidR="00026246" w:rsidRDefault="00884217">
            <w:pPr>
              <w:pStyle w:val="Normlnywebov"/>
              <w:spacing w:before="0" w:beforeAutospacing="0" w:after="0" w:afterAutospacing="0"/>
              <w:jc w:val="both"/>
            </w:pPr>
            <w:r>
              <w:rPr>
                <w:b/>
              </w:rPr>
              <w:t>This IPCEI project proposal intends to tackle technological and economic aspects of innovative medical isotope production in both research reactors and cyclotron/accelerator facilities as well as large scale nuclear reactors, in order to reduce the cost of nuclear medicine, improve access for patients and facilitate a better diagnosis and treatment of cancer</w:t>
            </w:r>
            <w:r>
              <w:t>:</w:t>
            </w:r>
          </w:p>
          <w:p w14:paraId="31A2E8E1" w14:textId="77777777" w:rsidR="00026246" w:rsidRDefault="00884217">
            <w:pPr>
              <w:pStyle w:val="Normlnywebov"/>
              <w:numPr>
                <w:ilvl w:val="0"/>
                <w:numId w:val="27"/>
              </w:numPr>
              <w:spacing w:before="0" w:beforeAutospacing="0" w:after="0" w:afterAutospacing="0"/>
              <w:jc w:val="both"/>
              <w:rPr>
                <w:lang w:val="en-US"/>
              </w:rPr>
            </w:pPr>
            <w:r>
              <w:rPr>
                <w:lang w:val="en-US"/>
              </w:rPr>
              <w:t>Innovative technologies, R&amp;D, sharing of best practices for reactor operation, and maintenance</w:t>
            </w:r>
          </w:p>
          <w:p w14:paraId="31A2E8E2" w14:textId="77777777" w:rsidR="00026246" w:rsidRDefault="00884217">
            <w:pPr>
              <w:pStyle w:val="Normlnywebov"/>
              <w:numPr>
                <w:ilvl w:val="0"/>
                <w:numId w:val="27"/>
              </w:numPr>
              <w:spacing w:before="0" w:beforeAutospacing="0" w:after="0" w:afterAutospacing="0"/>
              <w:jc w:val="both"/>
            </w:pPr>
            <w:r>
              <w:t>Supply chain reliability – ensuring the conditions for sustained production, lower outage periods, fast delivery to patients</w:t>
            </w:r>
          </w:p>
          <w:p w14:paraId="31A2E8E3" w14:textId="77777777" w:rsidR="00026246" w:rsidRDefault="00884217">
            <w:pPr>
              <w:pStyle w:val="Normlnywebov"/>
              <w:numPr>
                <w:ilvl w:val="0"/>
                <w:numId w:val="27"/>
              </w:numPr>
              <w:spacing w:before="0" w:beforeAutospacing="0" w:after="0" w:afterAutospacing="0"/>
              <w:jc w:val="both"/>
            </w:pPr>
            <w:r>
              <w:t>Diversification of medical RIs produced in the EU and reduction of dependencies on imports (for example for ytterbium-176 used to produce lutetium-177, and potentially other stable isotopes, which cannot be produced using the available technology and the isotope separation plants in the EU)</w:t>
            </w:r>
          </w:p>
          <w:p w14:paraId="31A2E8E4" w14:textId="77777777" w:rsidR="00026246" w:rsidRDefault="00884217">
            <w:pPr>
              <w:pStyle w:val="Normlnywebov"/>
              <w:numPr>
                <w:ilvl w:val="0"/>
                <w:numId w:val="27"/>
              </w:numPr>
              <w:spacing w:before="0" w:beforeAutospacing="0" w:after="0" w:afterAutospacing="0"/>
              <w:jc w:val="both"/>
            </w:pPr>
            <w:r>
              <w:t>Localization of the production of HALEU fuel needed for research reactors</w:t>
            </w:r>
          </w:p>
          <w:p w14:paraId="31A2E8E5" w14:textId="77777777" w:rsidR="00026246" w:rsidRDefault="00884217">
            <w:pPr>
              <w:pStyle w:val="Normlnywebov"/>
              <w:numPr>
                <w:ilvl w:val="0"/>
                <w:numId w:val="27"/>
              </w:numPr>
              <w:spacing w:before="0" w:beforeAutospacing="0" w:after="0" w:afterAutospacing="0"/>
              <w:jc w:val="both"/>
            </w:pPr>
            <w:r>
              <w:t>Attraction and training of labour force across the value chain (including by cooperation with universities)</w:t>
            </w:r>
          </w:p>
          <w:p w14:paraId="31A2E8E6" w14:textId="77777777" w:rsidR="00026246" w:rsidRDefault="00884217">
            <w:pPr>
              <w:pStyle w:val="Normlnywebov"/>
              <w:numPr>
                <w:ilvl w:val="0"/>
                <w:numId w:val="27"/>
              </w:numPr>
              <w:spacing w:before="0" w:beforeAutospacing="0" w:after="0" w:afterAutospacing="0"/>
              <w:jc w:val="both"/>
            </w:pPr>
            <w:r>
              <w:t>Development of the related European industrial capacity related to medical isotope production, encapsulation, transport, distribution.</w:t>
            </w:r>
          </w:p>
          <w:p w14:paraId="31A2E8E7" w14:textId="77777777" w:rsidR="00026246" w:rsidRDefault="00884217">
            <w:pPr>
              <w:pStyle w:val="Normlnywebov"/>
              <w:numPr>
                <w:ilvl w:val="0"/>
                <w:numId w:val="27"/>
              </w:numPr>
              <w:spacing w:before="0" w:beforeAutospacing="0" w:after="0" w:afterAutospacing="0"/>
              <w:jc w:val="both"/>
            </w:pPr>
            <w:r>
              <w:t>Management of radioactive waste</w:t>
            </w:r>
          </w:p>
          <w:p w14:paraId="31A2E8E8" w14:textId="77777777" w:rsidR="00026246" w:rsidRDefault="00884217">
            <w:pPr>
              <w:pStyle w:val="Normlnywebov"/>
              <w:numPr>
                <w:ilvl w:val="0"/>
                <w:numId w:val="27"/>
              </w:numPr>
              <w:spacing w:before="0" w:beforeAutospacing="0" w:after="0" w:afterAutospacing="0"/>
              <w:jc w:val="both"/>
            </w:pPr>
            <w:r>
              <w:t>Acceptance of nuclear power in general</w:t>
            </w:r>
          </w:p>
          <w:p w14:paraId="31A2E8E9" w14:textId="77777777" w:rsidR="00026246" w:rsidRDefault="00026246">
            <w:pPr>
              <w:spacing w:after="0"/>
            </w:pPr>
          </w:p>
          <w:p w14:paraId="31A2E8EA" w14:textId="77777777" w:rsidR="00026246" w:rsidRDefault="00884217">
            <w:pPr>
              <w:spacing w:after="0"/>
            </w:pPr>
            <w:r>
              <w:t>The project will adhere to the Euratom framework in terms of nuclear safety, waste management, radioprotection and safeguards.</w:t>
            </w:r>
          </w:p>
          <w:p w14:paraId="31A2E8EB" w14:textId="77777777" w:rsidR="00026246" w:rsidRDefault="00026246">
            <w:pPr>
              <w:pStyle w:val="Normlnywebov"/>
              <w:spacing w:before="0" w:beforeAutospacing="0" w:after="0" w:afterAutospacing="0"/>
              <w:jc w:val="both"/>
            </w:pPr>
          </w:p>
          <w:p w14:paraId="31A2E8EC" w14:textId="77777777" w:rsidR="00026246" w:rsidRDefault="00884217">
            <w:pPr>
              <w:spacing w:after="0"/>
            </w:pPr>
            <w:r>
              <w:t>Also, the diversification of the medical isotopes proves to be a necessity as outlined in the Euratom Supply Agency report for 2023 and in the Council conclusions on the security of supply of radioisotopes for medical use adopted in 2024</w:t>
            </w:r>
            <w:r>
              <w:rPr>
                <w:rStyle w:val="Odkaznapoznmkupodiarou"/>
              </w:rPr>
              <w:footnoteReference w:id="4"/>
            </w:r>
            <w:r>
              <w:t>. Currently, technetium-99m (and subsequently its parent radionuclide molybdenum-99) is the primarily used medical isotope in the EU for diagnosis; however, cancer treatments show an increased potential for therapeutic RIs use, including lutetium-177. The current IPCEI plans to expand the production capacity of medical isotopes in the EU, supplying the internal market.</w:t>
            </w:r>
          </w:p>
          <w:p w14:paraId="31A2E8ED" w14:textId="77777777" w:rsidR="00026246" w:rsidRDefault="00884217">
            <w:pPr>
              <w:spacing w:after="0"/>
            </w:pPr>
            <w:r>
              <w:t xml:space="preserve">Additionally, the EU accounts for approximately 60% of the worldwide production of Mo-99/Tc-99m in high-flux reactors. However, the EU relies on imports for certain critical materials necessary for producing these isotopes. Specifically, the EU does not produce </w:t>
            </w:r>
            <w:proofErr w:type="spellStart"/>
            <w:r>
              <w:t>domesticallythe</w:t>
            </w:r>
            <w:proofErr w:type="spellEnd"/>
            <w:r>
              <w:t xml:space="preserve"> materials essential for fuelling research reactors and producing some of the medical radioisotopes. Consequently, the EU imports the nuclear fuel from countries like the United States and the Russian Federation. In order to address this security issues, a common approach to boost the production of medical isotopes in research reactors and large-scale nuclear reactors in the EU can create the demand for localized production capacities in the EU, also linked to the growing number of Small Modular Reactors (SMR) projects.</w:t>
            </w:r>
          </w:p>
          <w:p w14:paraId="31A2E8EE" w14:textId="77777777" w:rsidR="00026246" w:rsidRDefault="00026246">
            <w:pPr>
              <w:spacing w:after="0"/>
            </w:pPr>
          </w:p>
          <w:p w14:paraId="31A2E8EF" w14:textId="77777777" w:rsidR="00026246" w:rsidRDefault="00884217">
            <w:pPr>
              <w:spacing w:after="0"/>
            </w:pPr>
            <w:r>
              <w:t xml:space="preserve">Additionally, the EU depends on imports for some medical radioisotopes not produced within its member states. For instance, actinium-225, astatine-211, lutetium-177 or </w:t>
            </w:r>
            <w:r>
              <w:lastRenderedPageBreak/>
              <w:t>copper-67, used in radiopharmaceutical production designed for certain cancer treatments, are not produced in sufficient quantities in the EU, creating dependence to meet clinical demand. The enriched stable isotopes needed are produced mainly from Russia). Boosting the production capacity for medical isotopes contributes to expanding access to high performance treatments, reducing risks in the supply chain and localizing production with positive social and economic effects in the entire EU economy.</w:t>
            </w:r>
          </w:p>
          <w:p w14:paraId="31A2E8F0" w14:textId="77777777" w:rsidR="00026246" w:rsidRDefault="00026246">
            <w:pPr>
              <w:spacing w:after="0"/>
            </w:pPr>
          </w:p>
          <w:p w14:paraId="31A2E8F1" w14:textId="77777777" w:rsidR="00026246" w:rsidRDefault="00884217">
            <w:pPr>
              <w:pStyle w:val="Nadpis2"/>
              <w:numPr>
                <w:ilvl w:val="0"/>
                <w:numId w:val="0"/>
              </w:numPr>
              <w:ind w:left="1077" w:hanging="595"/>
            </w:pPr>
            <w:r>
              <w:rPr>
                <w:lang w:val="en-IE"/>
              </w:rPr>
              <w:t xml:space="preserve">2.2. To what EU policy objectives will the initiative contribute? </w:t>
            </w:r>
            <w:r>
              <w:t>Does it have a significant impact on sustainable growth?</w:t>
            </w:r>
          </w:p>
          <w:p w14:paraId="31A2E8F2" w14:textId="77777777" w:rsidR="00026246" w:rsidRDefault="00884217">
            <w:pPr>
              <w:spacing w:after="0"/>
              <w:rPr>
                <w:color w:val="1D2228"/>
                <w:szCs w:val="24"/>
                <w:shd w:val="clear" w:color="auto" w:fill="FFFFFF"/>
              </w:rPr>
            </w:pPr>
            <w:r>
              <w:rPr>
                <w:color w:val="1D2228"/>
                <w:szCs w:val="24"/>
                <w:shd w:val="clear" w:color="auto" w:fill="FFFFFF"/>
              </w:rPr>
              <w:t>The proposed IPCEI will contribute to the objectives of the Commission Communication on the EU Competitiveness Compass under Pillar 1, ‘Closing the Innovation Gap’; more specifically, the objectives of the announced flagship action on Life Sciences Strategy, expected in the second quarter of 2025.</w:t>
            </w:r>
          </w:p>
          <w:p w14:paraId="31A2E8F3" w14:textId="77777777" w:rsidR="00026246" w:rsidRDefault="00026246">
            <w:pPr>
              <w:spacing w:after="0"/>
              <w:rPr>
                <w:szCs w:val="24"/>
              </w:rPr>
            </w:pPr>
          </w:p>
          <w:p w14:paraId="31A2E8F4" w14:textId="77777777" w:rsidR="00026246" w:rsidRDefault="00884217">
            <w:pPr>
              <w:spacing w:after="0"/>
            </w:pPr>
            <w:r>
              <w:t xml:space="preserve">In the EU4Health programme 2021-2027 – a vision for a healthier European Union, was identified as one of the 3 urgent health priorities (along with Response to the COVID-19 crisis and reinforcing the EU’s resilience for cross-border health threats, and Pharmaceutical Strategy for Europe), and subsequently adopted the ambitious Europe’s Beating Cancer Plan (Source: </w:t>
            </w:r>
            <w:hyperlink r:id="rId12">
              <w:r>
                <w:rPr>
                  <w:rStyle w:val="Hypertextovprepojenie"/>
                </w:rPr>
                <w:t>https://health.ec.europa.eu/non-communicable-diseases/cancer_en</w:t>
              </w:r>
            </w:hyperlink>
            <w:r>
              <w:t>). Europe’s Beating Cancer Plan supports Member States’ work to prevent cancer and to ensure a high quality of life for cancer patients, survivors, their families and carers, and is structured around several key areas where the EU can add most value: prevention, early detection, diagnosis and treatment, quality of life of cancer patients and survivors. Among many flagship initiatives we refer to Early detection (#EU Cancer Screening Scheme), Diagnosis and Treatment (#EU network of National Comprehensive Cancer Centres, #Cancer Diagnostic and Treatment for All, #European Initiative to Understand Cancer), and Reducing inequalities (#Cancer Inequalities Registry). This later initiative presents the actual status, trends, recent efforts on prevention policies, cancer care performance, quality and costs, and spotlight on inequalities in cancer prevention and care – for each EU Member State, Norway and Iceland.</w:t>
            </w:r>
          </w:p>
          <w:p w14:paraId="31A2E8F5" w14:textId="77777777" w:rsidR="00026246" w:rsidRDefault="00026246">
            <w:pPr>
              <w:spacing w:after="0"/>
            </w:pPr>
          </w:p>
          <w:p w14:paraId="31A2E8F6" w14:textId="77777777" w:rsidR="00026246" w:rsidRDefault="00884217">
            <w:pPr>
              <w:spacing w:after="0"/>
            </w:pPr>
            <w:r>
              <w:t>The cancer incidence and mortality data, published by OECD/WHO (see Figure below), show increased incidence of cancer and a high mortality rate in Europe, despite of recent advancements in oncology research and substantial financial efforts, suggesting disconnected and inefficient policies in cancer management, both prevention and treatment.</w:t>
            </w:r>
          </w:p>
          <w:p w14:paraId="31A2E8F7" w14:textId="77777777" w:rsidR="00026246" w:rsidRDefault="00884217">
            <w:pPr>
              <w:spacing w:after="0"/>
            </w:pPr>
            <w:r>
              <w:rPr>
                <w:noProof/>
              </w:rPr>
              <w:lastRenderedPageBreak/>
              <w:drawing>
                <wp:inline distT="0" distB="0" distL="0" distR="0" wp14:anchorId="31A2E9CD" wp14:editId="31A2E9CE">
                  <wp:extent cx="5298807" cy="2671482"/>
                  <wp:effectExtent l="0" t="0" r="0" b="0"/>
                  <wp:docPr id="1811045441" name="Picture 1811045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104544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85574" cy="2715227"/>
                          </a:xfrm>
                          <a:prstGeom prst="rect">
                            <a:avLst/>
                          </a:prstGeom>
                        </pic:spPr>
                      </pic:pic>
                    </a:graphicData>
                  </a:graphic>
                </wp:inline>
              </w:drawing>
            </w:r>
          </w:p>
          <w:p w14:paraId="31A2E8F8" w14:textId="77777777" w:rsidR="00026246" w:rsidRDefault="00026246">
            <w:pPr>
              <w:spacing w:after="0"/>
            </w:pPr>
          </w:p>
          <w:p w14:paraId="31A2E8F9" w14:textId="77777777" w:rsidR="00026246" w:rsidRDefault="00884217">
            <w:pPr>
              <w:spacing w:after="0"/>
            </w:pPr>
            <w:r>
              <w:t xml:space="preserve">Country Cancer Profiles show huge inequalities in cancer incidence, arguably caused by country fingerprints but also determined by the diagnostic performance and screening programs in the </w:t>
            </w:r>
            <w:proofErr w:type="spellStart"/>
            <w:r>
              <w:t>MSs.</w:t>
            </w:r>
            <w:proofErr w:type="spellEnd"/>
            <w:r>
              <w:t xml:space="preserve"> Mortality related to cancer is even more heterogenous in Europe, directly linked to the treatment options and performance, as well as to prevention, follow-up and palliative care effectiveness. </w:t>
            </w:r>
          </w:p>
          <w:p w14:paraId="31A2E8FA" w14:textId="77777777" w:rsidR="00026246" w:rsidRDefault="00884217">
            <w:pPr>
              <w:spacing w:after="0"/>
            </w:pPr>
            <w:r>
              <w:t>The actual situation creates the need to recover the gaps but also opportunities for improvements by learning from each other.</w:t>
            </w:r>
          </w:p>
          <w:p w14:paraId="31A2E8FB" w14:textId="77777777" w:rsidR="00026246" w:rsidRDefault="00026246">
            <w:pPr>
              <w:spacing w:after="0"/>
            </w:pPr>
          </w:p>
          <w:p w14:paraId="31A2E8FC" w14:textId="77777777" w:rsidR="00026246" w:rsidRDefault="00884217">
            <w:pPr>
              <w:spacing w:after="0"/>
            </w:pPr>
            <w:r>
              <w:t xml:space="preserve">The IPCEI project will contribute to the implementation of the </w:t>
            </w:r>
            <w:r>
              <w:rPr>
                <w:b/>
              </w:rPr>
              <w:t>SAMIRA</w:t>
            </w:r>
            <w:r>
              <w:t xml:space="preserve"> objectives: (1) securing the supply of medical radioisotopes; (2) improving radiation quality and safety in medicine and (3) facilitating innovation and the technological development of medical ionising radiation applications. Securing the long-term supply of medical radioisotopes is essential to maintaining EU patients’ access to vital medical procedures and supporting the development of new cancer treatments. This requires significant investments across the entire supply chain, particularly in securing source materials and new production capacity.</w:t>
            </w:r>
          </w:p>
          <w:p w14:paraId="31A2E8FD" w14:textId="77777777" w:rsidR="00026246" w:rsidRDefault="00884217">
            <w:pPr>
              <w:spacing w:after="0"/>
            </w:pPr>
            <w:r>
              <w:t>The IPCEI project propose also to answer to the initiative of the Commission - European Radioisotope Valley Initiative (</w:t>
            </w:r>
            <w:r>
              <w:rPr>
                <w:b/>
                <w:bCs/>
              </w:rPr>
              <w:t>ERVI</w:t>
            </w:r>
            <w:r>
              <w:t>) which, based on stakeholder feedback, aims at creating the conditions to increase production of medical isotopes.</w:t>
            </w:r>
          </w:p>
          <w:p w14:paraId="31A2E8FE" w14:textId="77777777" w:rsidR="00026246" w:rsidRDefault="00026246">
            <w:pPr>
              <w:spacing w:after="0"/>
            </w:pPr>
          </w:p>
          <w:p w14:paraId="31A2E8FF" w14:textId="77777777" w:rsidR="00026246" w:rsidRDefault="00884217">
            <w:pPr>
              <w:pStyle w:val="Nadpis2"/>
              <w:numPr>
                <w:ilvl w:val="0"/>
                <w:numId w:val="0"/>
              </w:numPr>
              <w:ind w:left="1077" w:hanging="595"/>
            </w:pPr>
            <w:r>
              <w:t>2.3. What are the industrial policy challenges to overcome in the area?</w:t>
            </w:r>
          </w:p>
          <w:p w14:paraId="31A2E900" w14:textId="77777777" w:rsidR="00026246" w:rsidRDefault="00884217">
            <w:r>
              <w:t xml:space="preserve">The nuclear industry expressed legitimate interest and opportunity to reshape public perception of the nuclear applications for the societal benefits through the production of medical RIs. By demonstrating the essential role of nuclear technology in healthcare, the industry showcases its contributions to societal well-being beyond energy production. The industry continues to innovate in producing medical isotopes, assuring their reliable supply, and reinforces its commitment to advancing public health. This evolution underscores the importance of nuclear technology in everyday life, paving the way for future developments with significant health benefits. </w:t>
            </w:r>
          </w:p>
          <w:p w14:paraId="31A2E901" w14:textId="77777777" w:rsidR="00026246" w:rsidRDefault="00884217">
            <w:r>
              <w:t>The quickly changing medical isotope production installations’ landscape (</w:t>
            </w:r>
            <w:hyperlink r:id="rId14" w:history="1">
              <w:r>
                <w:rPr>
                  <w:rStyle w:val="Hypertextovprepojenie"/>
                </w:rPr>
                <w:t>https://op.europa.eu/en/publication-detail/-/publication/4599de47-3ac6-11ec-89db-01aa75ed71a1/language-en</w:t>
              </w:r>
            </w:hyperlink>
            <w:r>
              <w:t xml:space="preserve">) forecasts industrial challenges to overcome the uncertainties regarding new developments. The European Radioisotope Valley Initiative (ERVI) advises to support power reactor medical isotope production projects </w:t>
            </w:r>
            <w:r>
              <w:lastRenderedPageBreak/>
              <w:t xml:space="preserve">(ENER/D3/2022-80). Given that the production of medical RI (lutetium-177) at the European level is currently conducted exclusively in research reactors, in the context of the predicted growth, involving of civil nuclear reactors and industrial actors in RIs production is a critical necessity. They would not only expand production capacity closer to the continuous expanding necessity but also ensure a continuous and stable supply of lutetium-177 and other therapeutic RIs (such as, but not limited to: copper-64/67, astatine-211, actinium-225, scandium-47, terbium-161). </w:t>
            </w:r>
          </w:p>
          <w:p w14:paraId="31A2E902" w14:textId="77777777" w:rsidR="00026246" w:rsidRDefault="00884217">
            <w:r>
              <w:rPr>
                <w:color w:val="000000" w:themeColor="text1"/>
              </w:rPr>
              <w:t>Challenges in the area of medical isotopes production generally reside in the following:</w:t>
            </w:r>
          </w:p>
          <w:p w14:paraId="31A2E903" w14:textId="77777777" w:rsidR="00026246" w:rsidRDefault="00884217">
            <w:pPr>
              <w:spacing w:after="0"/>
              <w:ind w:left="26"/>
              <w:rPr>
                <w:b/>
                <w:color w:val="000000" w:themeColor="text1"/>
              </w:rPr>
            </w:pPr>
            <w:r>
              <w:rPr>
                <w:b/>
                <w:color w:val="000000" w:themeColor="text1"/>
              </w:rPr>
              <w:t>1. Supply Chain Reliability</w:t>
            </w:r>
          </w:p>
          <w:p w14:paraId="31A2E904" w14:textId="77777777" w:rsidR="00026246" w:rsidRDefault="00884217">
            <w:pPr>
              <w:pStyle w:val="Odsekzoznamu"/>
              <w:numPr>
                <w:ilvl w:val="0"/>
                <w:numId w:val="27"/>
              </w:numPr>
              <w:spacing w:after="0"/>
              <w:rPr>
                <w:color w:val="000000" w:themeColor="text1"/>
              </w:rPr>
            </w:pPr>
            <w:r>
              <w:rPr>
                <w:i/>
                <w:iCs/>
                <w:color w:val="000000" w:themeColor="text1"/>
              </w:rPr>
              <w:t>Limited production facilities:</w:t>
            </w:r>
            <w:r>
              <w:rPr>
                <w:color w:val="000000" w:themeColor="text1"/>
              </w:rPr>
              <w:t xml:space="preserve"> Only a few facilities worldwide produce key medical isotopes for therapy; limitations come mainly from: (i) non-favourable technical characteristics of the installed infrastructures (i.e. low/medium energy cyclotrons cannot produce therapeutic RIs), (ii) the limited number of research reactors dedicated to RIs production, and (iii) the lack of involvement of the nuclear power reactors.</w:t>
            </w:r>
          </w:p>
          <w:p w14:paraId="31A2E905" w14:textId="77777777" w:rsidR="00026246" w:rsidRDefault="00884217">
            <w:pPr>
              <w:pStyle w:val="Odsekzoznamu"/>
              <w:numPr>
                <w:ilvl w:val="0"/>
                <w:numId w:val="27"/>
              </w:numPr>
              <w:spacing w:after="0"/>
              <w:rPr>
                <w:color w:val="000000" w:themeColor="text1"/>
              </w:rPr>
            </w:pPr>
            <w:r>
              <w:rPr>
                <w:i/>
                <w:iCs/>
                <w:color w:val="000000" w:themeColor="text1"/>
              </w:rPr>
              <w:t>Aging infrastructure:</w:t>
            </w:r>
            <w:r>
              <w:rPr>
                <w:color w:val="000000" w:themeColor="text1"/>
              </w:rPr>
              <w:t xml:space="preserve"> Many reactors producing medical RIs are decades old, creating an increased risk for supply interruptions. Replacements will need to be planned in the future (</w:t>
            </w:r>
            <w:proofErr w:type="spellStart"/>
            <w:r>
              <w:rPr>
                <w:color w:val="000000" w:themeColor="text1"/>
              </w:rPr>
              <w:t>eg.</w:t>
            </w:r>
            <w:proofErr w:type="spellEnd"/>
            <w:r>
              <w:rPr>
                <w:color w:val="000000" w:themeColor="text1"/>
              </w:rPr>
              <w:t xml:space="preserve"> Pallas project).</w:t>
            </w:r>
          </w:p>
          <w:p w14:paraId="31A2E906" w14:textId="77777777" w:rsidR="00026246" w:rsidRDefault="00884217">
            <w:pPr>
              <w:pStyle w:val="Odsekzoznamu"/>
              <w:numPr>
                <w:ilvl w:val="0"/>
                <w:numId w:val="27"/>
              </w:numPr>
              <w:rPr>
                <w:color w:val="000000" w:themeColor="text1"/>
              </w:rPr>
            </w:pPr>
            <w:r>
              <w:rPr>
                <w:i/>
                <w:iCs/>
                <w:color w:val="000000" w:themeColor="text1"/>
              </w:rPr>
              <w:t>Geopolitical risks:</w:t>
            </w:r>
            <w:r>
              <w:rPr>
                <w:color w:val="000000" w:themeColor="text1"/>
              </w:rPr>
              <w:t xml:space="preserve"> Dependence on facilities in specific regions can expose the supply chain to disruptions due to geopolitical tensions. Different connecting parts in the supply chain are facing geopolitical risks, most relevant are: (i) the </w:t>
            </w:r>
            <w:r>
              <w:rPr>
                <w:color w:val="000000" w:themeColor="text1"/>
                <w:szCs w:val="24"/>
              </w:rPr>
              <w:t>target materials availability (isotopically enriched and/or rare materials), and (ii) nuclear fuel</w:t>
            </w:r>
            <w:r>
              <w:rPr>
                <w:color w:val="1D2228"/>
                <w:szCs w:val="24"/>
              </w:rPr>
              <w:t xml:space="preserve"> supply </w:t>
            </w:r>
            <w:r>
              <w:rPr>
                <w:color w:val="1D2228"/>
                <w:szCs w:val="24"/>
                <w:shd w:val="clear" w:color="auto" w:fill="FFFFFF"/>
              </w:rPr>
              <w:t xml:space="preserve">dependencies on the US and RU </w:t>
            </w:r>
          </w:p>
          <w:p w14:paraId="31A2E907" w14:textId="77777777" w:rsidR="00026246" w:rsidRDefault="00884217">
            <w:pPr>
              <w:spacing w:after="0"/>
              <w:ind w:left="26"/>
              <w:rPr>
                <w:b/>
                <w:color w:val="000000" w:themeColor="text1"/>
              </w:rPr>
            </w:pPr>
            <w:r>
              <w:rPr>
                <w:b/>
                <w:color w:val="000000" w:themeColor="text1"/>
              </w:rPr>
              <w:t>2. Innovation and Technology Development</w:t>
            </w:r>
          </w:p>
          <w:p w14:paraId="31A2E908" w14:textId="77777777" w:rsidR="00026246" w:rsidRDefault="00884217">
            <w:pPr>
              <w:pStyle w:val="Odsekzoznamu"/>
              <w:numPr>
                <w:ilvl w:val="0"/>
                <w:numId w:val="27"/>
              </w:numPr>
              <w:spacing w:after="0"/>
              <w:rPr>
                <w:color w:val="000000" w:themeColor="text1"/>
              </w:rPr>
            </w:pPr>
            <w:r>
              <w:rPr>
                <w:i/>
                <w:color w:val="000000" w:themeColor="text1"/>
              </w:rPr>
              <w:t>R&amp;D barriers</w:t>
            </w:r>
            <w:r>
              <w:rPr>
                <w:color w:val="000000" w:themeColor="text1"/>
              </w:rPr>
              <w:t>: Developing of new production methods for emerging medical RIs requires significant investment in research and development.</w:t>
            </w:r>
          </w:p>
          <w:p w14:paraId="31A2E909" w14:textId="77777777" w:rsidR="00026246" w:rsidRDefault="00884217">
            <w:pPr>
              <w:pStyle w:val="Odsekzoznamu"/>
              <w:numPr>
                <w:ilvl w:val="0"/>
                <w:numId w:val="27"/>
              </w:numPr>
              <w:spacing w:after="0"/>
              <w:rPr>
                <w:color w:val="000000" w:themeColor="text1"/>
              </w:rPr>
            </w:pPr>
            <w:r>
              <w:rPr>
                <w:i/>
                <w:color w:val="000000" w:themeColor="text1"/>
              </w:rPr>
              <w:t>Translational research</w:t>
            </w:r>
            <w:r>
              <w:rPr>
                <w:color w:val="000000" w:themeColor="text1"/>
              </w:rPr>
              <w:t>: from laboratory to clinical application pathway, RPs drug development is a time &amp; resources-consuming and highly regulated process, also involving specialised trained personnel in inter- and multi-disciplinary area.</w:t>
            </w:r>
          </w:p>
          <w:p w14:paraId="31A2E90A" w14:textId="77777777" w:rsidR="00026246" w:rsidRDefault="00884217">
            <w:pPr>
              <w:pStyle w:val="Odsekzoznamu"/>
              <w:numPr>
                <w:ilvl w:val="0"/>
                <w:numId w:val="27"/>
              </w:numPr>
              <w:spacing w:after="0"/>
              <w:rPr>
                <w:color w:val="000000" w:themeColor="text1"/>
              </w:rPr>
            </w:pPr>
            <w:r>
              <w:rPr>
                <w:i/>
                <w:color w:val="000000" w:themeColor="text1"/>
              </w:rPr>
              <w:t>Technology transfer</w:t>
            </w:r>
            <w:r>
              <w:rPr>
                <w:color w:val="000000" w:themeColor="text1"/>
              </w:rPr>
              <w:t xml:space="preserve">: Limited collaboration between research institutions and industry delays the commercialization of innovations. </w:t>
            </w:r>
            <w:r>
              <w:rPr>
                <w:lang w:val="en-US"/>
              </w:rPr>
              <w:t>Early involvement in the development of a production process (both RIs and RPs) of the European Medicines Agency (EMA), national health authorities, or institutions overseeing nuclear safety is not properly acknowledged, creating difficulties and postponing in later stages.</w:t>
            </w:r>
          </w:p>
          <w:p w14:paraId="31A2E90B" w14:textId="77777777" w:rsidR="00026246" w:rsidRDefault="00884217">
            <w:pPr>
              <w:pStyle w:val="Odsekzoznamu"/>
              <w:numPr>
                <w:ilvl w:val="0"/>
                <w:numId w:val="27"/>
              </w:numPr>
              <w:spacing w:after="0"/>
              <w:rPr>
                <w:color w:val="000000" w:themeColor="text1"/>
              </w:rPr>
            </w:pPr>
            <w:r>
              <w:rPr>
                <w:i/>
                <w:color w:val="000000" w:themeColor="text1"/>
              </w:rPr>
              <w:t xml:space="preserve">Transition from cyclotron/research reactor methods to NP reactor methods: </w:t>
            </w:r>
            <w:r>
              <w:rPr>
                <w:color w:val="000000" w:themeColor="text1"/>
              </w:rPr>
              <w:t xml:space="preserve">Moving from research-reactor-based production to production in large scale nuclear reactors is feasible but technically challenging, thus requires EU wide support (currently, the production of medical isotopes in large scale reactors takes place in Canada, Russia, China, South Korea, with such plans in the US as well. For interest to the UE is the technology used in Canada and South Korea for CANDU reactors which can be adjusted for the nuclear reactors in Cernavoda). </w:t>
            </w:r>
          </w:p>
          <w:p w14:paraId="31A2E90C" w14:textId="77777777" w:rsidR="00026246" w:rsidRDefault="00884217">
            <w:pPr>
              <w:spacing w:after="0"/>
              <w:rPr>
                <w:color w:val="000000" w:themeColor="text1"/>
              </w:rPr>
            </w:pPr>
            <w:r>
              <w:rPr>
                <w:color w:val="000000" w:themeColor="text1"/>
              </w:rPr>
              <w:t>Other challenges:</w:t>
            </w:r>
          </w:p>
          <w:p w14:paraId="31A2E90D" w14:textId="77777777" w:rsidR="00026246" w:rsidRDefault="00884217">
            <w:pPr>
              <w:pStyle w:val="Odsekzoznamu"/>
              <w:numPr>
                <w:ilvl w:val="0"/>
                <w:numId w:val="27"/>
              </w:numPr>
              <w:rPr>
                <w:color w:val="000000" w:themeColor="text1"/>
              </w:rPr>
            </w:pPr>
            <w:r>
              <w:t xml:space="preserve">Lack of harmonized rules for the implementation of EU regulations at national levels on the </w:t>
            </w:r>
            <w:r>
              <w:rPr>
                <w:color w:val="000000" w:themeColor="text1"/>
              </w:rPr>
              <w:t xml:space="preserve">road/air </w:t>
            </w:r>
            <w:r>
              <w:t>transport of radioactive materials</w:t>
            </w:r>
            <w:r>
              <w:rPr>
                <w:color w:val="000000" w:themeColor="text1"/>
              </w:rPr>
              <w:t>. The transport challenges of novel (R&amp;D) radionuclides and the alpha emitters have to meet the consensus regarding the applicable rules.</w:t>
            </w:r>
          </w:p>
          <w:p w14:paraId="31A2E90E" w14:textId="77777777" w:rsidR="00026246" w:rsidRDefault="00884217">
            <w:pPr>
              <w:pStyle w:val="Odsekzoznamu"/>
              <w:numPr>
                <w:ilvl w:val="0"/>
                <w:numId w:val="27"/>
              </w:numPr>
              <w:rPr>
                <w:color w:val="000000" w:themeColor="text1"/>
              </w:rPr>
            </w:pPr>
            <w:r>
              <w:rPr>
                <w:color w:val="000000" w:themeColor="text1"/>
              </w:rPr>
              <w:lastRenderedPageBreak/>
              <w:t>Lack of a talent pipeline addressing the issue of skills shortages in the nuclear and medical sectors dealing with nuclear medicine</w:t>
            </w:r>
          </w:p>
          <w:p w14:paraId="31A2E90F" w14:textId="77777777" w:rsidR="00026246" w:rsidRDefault="00884217">
            <w:pPr>
              <w:pStyle w:val="Odsekzoznamu"/>
              <w:numPr>
                <w:ilvl w:val="0"/>
                <w:numId w:val="27"/>
              </w:numPr>
              <w:rPr>
                <w:color w:val="000000" w:themeColor="text1"/>
              </w:rPr>
            </w:pPr>
            <w:r>
              <w:rPr>
                <w:color w:val="000000" w:themeColor="text1"/>
              </w:rPr>
              <w:t>Novel developments in R&amp;D (for example mass separation as part of radionuclide processing) need to be reflected in the updated regulations</w:t>
            </w:r>
          </w:p>
          <w:p w14:paraId="31A2E910" w14:textId="77777777" w:rsidR="00026246" w:rsidRDefault="00884217">
            <w:pPr>
              <w:pStyle w:val="Odsekzoznamu"/>
              <w:numPr>
                <w:ilvl w:val="0"/>
                <w:numId w:val="27"/>
              </w:numPr>
              <w:rPr>
                <w:color w:val="000000" w:themeColor="text1"/>
              </w:rPr>
            </w:pPr>
            <w:r>
              <w:rPr>
                <w:szCs w:val="24"/>
              </w:rPr>
              <w:t xml:space="preserve">lack of alignment between pharmaceutical legislation and guidance </w:t>
            </w:r>
            <w:proofErr w:type="gramStart"/>
            <w:r>
              <w:rPr>
                <w:szCs w:val="24"/>
              </w:rPr>
              <w:t>with  the</w:t>
            </w:r>
            <w:proofErr w:type="gramEnd"/>
            <w:r>
              <w:rPr>
                <w:szCs w:val="24"/>
              </w:rPr>
              <w:t xml:space="preserve"> radiation safety legislation (BSSD’s requirements) regarding radiopharmaceuticals and radioisotopes for medical use, leading to interpretation issues and varied legislative processes across Europe. </w:t>
            </w:r>
            <w:r>
              <w:t>(BSSD: Radiation safety legislation).</w:t>
            </w:r>
          </w:p>
          <w:p w14:paraId="31A2E911" w14:textId="77777777" w:rsidR="00026246" w:rsidRDefault="00884217">
            <w:pPr>
              <w:pStyle w:val="Nadpis2"/>
              <w:numPr>
                <w:ilvl w:val="1"/>
                <w:numId w:val="31"/>
              </w:numPr>
            </w:pPr>
            <w:r>
              <w:t>What types of research and development and innovation or first industrial deployment activities (</w:t>
            </w:r>
            <w:r>
              <w:rPr>
                <w:rStyle w:val="Odkaznapoznmkupodiarou"/>
              </w:rPr>
              <w:footnoteReference w:id="5"/>
            </w:r>
            <w:r>
              <w:t>) need to be conducted? For RDI-activities, why would they be of major innovative nature or constitute an important added value in light of the state of the art? For FID activities, why do they allow for the development of a new product or service with high research and innovation content or the deployment of a fundamentally innovative production process?</w:t>
            </w:r>
          </w:p>
          <w:p w14:paraId="31A2E912" w14:textId="77777777" w:rsidR="00026246" w:rsidRDefault="00884217">
            <w:r>
              <w:t>Optimise a network of production installations to ensure flexible, resilient, sustainable, safe, equal and affordable access of EU citizens to medical RIs. The nuclear applications for societal benefits are foreseen to transform and the industrial actors and connect the three worlds of business, research and educational. FID activities allow for the implementation of production of therapeutic RIs in the industrial sector. Most activities of this theme consist in developing and deploying technologies to support continuous improvement, operational efficiency, and new manufacturing processes, which must qualify for the high standards of safety of both pharmaceutical and nuclear industries.</w:t>
            </w:r>
          </w:p>
          <w:p w14:paraId="31A2E913" w14:textId="77777777" w:rsidR="00026246" w:rsidRDefault="00884217">
            <w:pPr>
              <w:pStyle w:val="Nadpis2"/>
              <w:numPr>
                <w:ilvl w:val="1"/>
                <w:numId w:val="31"/>
              </w:numPr>
              <w:rPr>
                <w:lang w:val="en-IE"/>
              </w:rPr>
            </w:pPr>
            <w:r>
              <w:rPr>
                <w:lang w:val="en-IE"/>
              </w:rPr>
              <w:t>Is the initiative related to an integrated infrastructure project in the environmental, energy, transport, health or digital sectors? If yes, please explain why it is of great importance for the respective EU strategies or why it will contribute significantly to the internal market.</w:t>
            </w:r>
          </w:p>
          <w:p w14:paraId="31A2E914" w14:textId="77777777" w:rsidR="00026246" w:rsidRDefault="00884217">
            <w:pPr>
              <w:pStyle w:val="Text2"/>
              <w:ind w:left="0"/>
            </w:pPr>
            <w:r>
              <w:rPr>
                <w:lang w:val="en-IE"/>
              </w:rPr>
              <w:t xml:space="preserve">The IPCEI project can contribute to integrated infrastructure in the field of </w:t>
            </w:r>
            <w:r>
              <w:rPr>
                <w:b/>
                <w:lang w:val="en-IE"/>
              </w:rPr>
              <w:t>Non-power applications of nuclear energy</w:t>
            </w:r>
            <w:r>
              <w:rPr>
                <w:lang w:val="en-IE"/>
              </w:rPr>
              <w:t xml:space="preserve">. </w:t>
            </w:r>
            <w:r>
              <w:t>Integrated infrastructure projects could be identified further in the design process, based on Member States' feedback. Such projects (related to production and perhaps processing and other downstream aspects) can contribute to consolidating EU security of supply and long term more affordable access to treatments. They can also boost public acceptable of nuclear power in general and encourage the retention of skills and localization of critical industries such as HALEU fuel production in the EU.</w:t>
            </w:r>
          </w:p>
        </w:tc>
      </w:tr>
      <w:tr w:rsidR="00026246" w14:paraId="31A2E917" w14:textId="77777777">
        <w:tc>
          <w:tcPr>
            <w:tcW w:w="8602" w:type="dxa"/>
            <w:tcBorders>
              <w:top w:val="single" w:sz="4" w:space="0" w:color="auto"/>
              <w:left w:val="nil"/>
              <w:bottom w:val="single" w:sz="4" w:space="0" w:color="auto"/>
              <w:right w:val="nil"/>
            </w:tcBorders>
          </w:tcPr>
          <w:p w14:paraId="31A2E916" w14:textId="77777777" w:rsidR="00026246" w:rsidRDefault="00026246">
            <w:pPr>
              <w:rPr>
                <w:i/>
                <w:iCs/>
              </w:rPr>
            </w:pPr>
          </w:p>
        </w:tc>
      </w:tr>
      <w:tr w:rsidR="00026246" w14:paraId="31A2E919" w14:textId="77777777">
        <w:tc>
          <w:tcPr>
            <w:tcW w:w="860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1A2E918" w14:textId="77777777" w:rsidR="00026246" w:rsidRDefault="00884217">
            <w:pPr>
              <w:pStyle w:val="Nadpis1"/>
            </w:pPr>
            <w:r>
              <w:t>EU Dimension</w:t>
            </w:r>
          </w:p>
        </w:tc>
      </w:tr>
      <w:tr w:rsidR="00026246" w14:paraId="31A2E934" w14:textId="77777777">
        <w:tc>
          <w:tcPr>
            <w:tcW w:w="8602" w:type="dxa"/>
            <w:tcBorders>
              <w:top w:val="single" w:sz="4" w:space="0" w:color="auto"/>
              <w:bottom w:val="single" w:sz="4" w:space="0" w:color="auto"/>
            </w:tcBorders>
          </w:tcPr>
          <w:p w14:paraId="31A2E91A" w14:textId="77777777" w:rsidR="00026246" w:rsidRDefault="00884217">
            <w:pPr>
              <w:rPr>
                <w:i/>
                <w:iCs/>
              </w:rPr>
            </w:pPr>
            <w:r>
              <w:rPr>
                <w:i/>
                <w:iCs/>
              </w:rPr>
              <w:t xml:space="preserve">This section aims at assessing the relevance of an intervention at EU level in the proposed area. </w:t>
            </w:r>
          </w:p>
          <w:p w14:paraId="31A2E91B" w14:textId="77777777" w:rsidR="00026246" w:rsidRDefault="00884217">
            <w:pPr>
              <w:pStyle w:val="Nadpis2"/>
            </w:pPr>
            <w:r>
              <w:lastRenderedPageBreak/>
              <w:t xml:space="preserve">What would be the EU value-added of an intervention in this area? </w:t>
            </w:r>
          </w:p>
          <w:p w14:paraId="31A2E91C" w14:textId="77777777" w:rsidR="00026246" w:rsidRDefault="00884217">
            <w:pPr>
              <w:pStyle w:val="Text2"/>
              <w:ind w:left="0"/>
            </w:pPr>
            <w:r>
              <w:rPr>
                <w:color w:val="000000" w:themeColor="text1"/>
              </w:rPr>
              <w:t xml:space="preserve">The development of nuclear capacities for medical RIs production is critical for achieving the EU’s resilience and open strategic autonomy in the field of cancer therapy. However, the EU still needs to build a joint and coordinated strategy to date, to assure equal access of European citizens to innovative and personalized treatment options. </w:t>
            </w:r>
          </w:p>
          <w:p w14:paraId="31A2E91D" w14:textId="77777777" w:rsidR="00026246" w:rsidRDefault="00884217">
            <w:pPr>
              <w:pStyle w:val="Text2"/>
              <w:ind w:left="0"/>
              <w:rPr>
                <w:color w:val="000000" w:themeColor="text1"/>
              </w:rPr>
            </w:pPr>
            <w:r>
              <w:t xml:space="preserve"> Adapting the technology for production of medical isotopes in large scale nuclear reactors, requires long development and deployment </w:t>
            </w:r>
            <w:proofErr w:type="gramStart"/>
            <w:r>
              <w:t>times..</w:t>
            </w:r>
            <w:proofErr w:type="gramEnd"/>
            <w:r>
              <w:t xml:space="preserve"> The molybdenum-99 production is of capital </w:t>
            </w:r>
            <w:proofErr w:type="gramStart"/>
            <w:r>
              <w:t>importance</w:t>
            </w:r>
            <w:proofErr w:type="gramEnd"/>
            <w:r>
              <w:t xml:space="preserve"> and innovation should sustain its </w:t>
            </w:r>
            <w:proofErr w:type="gramStart"/>
            <w:r>
              <w:t>long term</w:t>
            </w:r>
            <w:proofErr w:type="gramEnd"/>
            <w:r>
              <w:t xml:space="preserve"> development. Improvements in existing technologies and development in alternative routes, on full process and supply changes are sought. </w:t>
            </w:r>
            <w:r>
              <w:rPr>
                <w:color w:val="000000" w:themeColor="text1"/>
              </w:rPr>
              <w:t>In addition, a collaborative EU-wide project in the area of the development of nuclear supply chains and fuel cycle (elements common to other fission IPCEI project proposals), as well as the transformation and modernisation of existing industrial sites will facilitate the implementation of innovative RIs production technologies.</w:t>
            </w:r>
          </w:p>
          <w:p w14:paraId="31A2E91E" w14:textId="77777777" w:rsidR="00026246" w:rsidRDefault="00884217">
            <w:pPr>
              <w:pStyle w:val="Text2"/>
              <w:spacing w:after="0"/>
              <w:ind w:left="0"/>
              <w:rPr>
                <w:lang w:val="en-IE"/>
              </w:rPr>
            </w:pPr>
            <w:r>
              <w:rPr>
                <w:lang w:val="en-IE"/>
              </w:rPr>
              <w:t>The development of an IPCEI project for medical isotopes will contribute to the development of the internal market for nuclear energy in general in the EU in terms of:</w:t>
            </w:r>
          </w:p>
          <w:p w14:paraId="31A2E91F" w14:textId="77777777" w:rsidR="00026246" w:rsidRDefault="00884217">
            <w:pPr>
              <w:pStyle w:val="Text2"/>
              <w:numPr>
                <w:ilvl w:val="0"/>
                <w:numId w:val="30"/>
              </w:numPr>
              <w:spacing w:after="0"/>
              <w:ind w:left="444" w:hanging="283"/>
              <w:rPr>
                <w:lang w:val="en-IE"/>
              </w:rPr>
            </w:pPr>
            <w:r>
              <w:rPr>
                <w:lang w:val="en-IE"/>
              </w:rPr>
              <w:t>R&amp;D and Innovation: The EU funds research through programs like Horizon Europe/Euratom R&amp;D (direct and indirect actions), focusing on advanced nuclear technologies (including SMRs, fusion), Nuclear Safety &amp; Radiation Protection, Radioactive Waste Management, Nuclear Education &amp; Training waste management, nuclear medical applications.</w:t>
            </w:r>
          </w:p>
          <w:p w14:paraId="31A2E920" w14:textId="77777777" w:rsidR="00026246" w:rsidRDefault="00884217">
            <w:pPr>
              <w:pStyle w:val="Text2"/>
              <w:numPr>
                <w:ilvl w:val="0"/>
                <w:numId w:val="29"/>
              </w:numPr>
              <w:spacing w:after="0"/>
              <w:ind w:left="444" w:hanging="283"/>
              <w:rPr>
                <w:lang w:val="en-IE"/>
              </w:rPr>
            </w:pPr>
            <w:r>
              <w:rPr>
                <w:lang w:val="en-IE"/>
              </w:rPr>
              <w:t>Manufacturing and Supply Chain: Currently, much of the technology and manufacturing capacity exists outside the EU, particularly in countries like the US, Russia, and China. Building an EU-based supply chain would require investments in manufacturing, skilled labour, and regulatory frameworks.</w:t>
            </w:r>
          </w:p>
          <w:p w14:paraId="31A2E921" w14:textId="77777777" w:rsidR="00026246" w:rsidRDefault="00884217">
            <w:pPr>
              <w:pStyle w:val="Text2"/>
              <w:numPr>
                <w:ilvl w:val="0"/>
                <w:numId w:val="29"/>
              </w:numPr>
              <w:spacing w:after="0"/>
              <w:ind w:left="444" w:hanging="283"/>
              <w:rPr>
                <w:lang w:val="en-IE"/>
              </w:rPr>
            </w:pPr>
            <w:r>
              <w:rPr>
                <w:lang w:val="en-IE"/>
              </w:rPr>
              <w:t>Workforce Development: to train a skilled workforce to support the nuclear sector is crucial for a successful value chain.</w:t>
            </w:r>
          </w:p>
          <w:p w14:paraId="31A2E922" w14:textId="77777777" w:rsidR="00026246" w:rsidRDefault="00884217">
            <w:pPr>
              <w:pStyle w:val="Text2"/>
              <w:numPr>
                <w:ilvl w:val="0"/>
                <w:numId w:val="29"/>
              </w:numPr>
              <w:spacing w:after="0"/>
              <w:ind w:left="444" w:hanging="283"/>
              <w:rPr>
                <w:lang w:val="en-IE"/>
              </w:rPr>
            </w:pPr>
            <w:r>
              <w:rPr>
                <w:lang w:val="en-IE"/>
              </w:rPr>
              <w:t>Regulatory Framework: Harmonizing regulations across EU member states is essential for nuclear projects (e.g. deploying SMRs). The European Nuclear Safety Regulators Group (ENSREG) could play a role in this harmonization.</w:t>
            </w:r>
          </w:p>
          <w:p w14:paraId="31A2E923" w14:textId="77777777" w:rsidR="00026246" w:rsidRDefault="00884217">
            <w:pPr>
              <w:pStyle w:val="Text2"/>
              <w:numPr>
                <w:ilvl w:val="0"/>
                <w:numId w:val="29"/>
              </w:numPr>
              <w:spacing w:after="0"/>
              <w:ind w:left="444" w:hanging="283"/>
              <w:rPr>
                <w:lang w:val="en-IE"/>
              </w:rPr>
            </w:pPr>
            <w:r>
              <w:rPr>
                <w:lang w:val="en-IE"/>
              </w:rPr>
              <w:t>Industry Partnerships: Collaborations between EU member states, private sector stakeholders, and research institutions are crucial for developing a local SMR industry.</w:t>
            </w:r>
          </w:p>
          <w:p w14:paraId="31A2E924" w14:textId="77777777" w:rsidR="00026246" w:rsidRDefault="00884217">
            <w:pPr>
              <w:pStyle w:val="Text2"/>
              <w:numPr>
                <w:ilvl w:val="0"/>
                <w:numId w:val="29"/>
              </w:numPr>
              <w:ind w:left="444" w:hanging="283"/>
            </w:pPr>
            <w:r>
              <w:rPr>
                <w:lang w:val="en-IE"/>
              </w:rPr>
              <w:t>Public Acceptance and Education: Gaining public trust through transparent communication about safety, waste management, and environmental benefits is vital for deploying nuclear projects in the EU.</w:t>
            </w:r>
          </w:p>
          <w:p w14:paraId="31A2E925" w14:textId="77777777" w:rsidR="00026246" w:rsidRDefault="00884217">
            <w:pPr>
              <w:pStyle w:val="Nadpis2"/>
            </w:pPr>
            <w:r>
              <w:t xml:space="preserve">Which positive spill-over effects to the EU economy/society would the initiative deliver? </w:t>
            </w:r>
          </w:p>
          <w:p w14:paraId="31A2E926" w14:textId="77777777" w:rsidR="00026246" w:rsidRDefault="00884217">
            <w:pPr>
              <w:pStyle w:val="Text2"/>
              <w:ind w:left="0"/>
              <w:rPr>
                <w:color w:val="000000" w:themeColor="text1"/>
              </w:rPr>
            </w:pPr>
            <w:r>
              <w:rPr>
                <w:color w:val="000000" w:themeColor="text1"/>
              </w:rPr>
              <w:t xml:space="preserve">This IPCEI will bring around the table various players committed to develop innovative production routes/technologies of therapeutic RIs to increase Europe’s industrial capacity.  It will also contribute to the creation or strengthening of new competencies and skills, which are crucial for the long-term sustainability and competitive advantage in medical RIs production and nuclear medicine. Translational R&amp;D is the key to implement emerging radioisotopes into radiopharmaceutical production processes. This will help to foster collaboration between partners in the IPCEI ecosystem, researchers to share some of the knowledge obtained within the industry and more broadly in the </w:t>
            </w:r>
            <w:r>
              <w:rPr>
                <w:color w:val="000000" w:themeColor="text1"/>
              </w:rPr>
              <w:lastRenderedPageBreak/>
              <w:t>health sector, involving medical engineers, clinical practitioners and patient organizations.</w:t>
            </w:r>
          </w:p>
          <w:p w14:paraId="31A2E927" w14:textId="77777777" w:rsidR="00026246" w:rsidRDefault="00884217">
            <w:pPr>
              <w:pStyle w:val="Text2"/>
              <w:ind w:left="0"/>
              <w:rPr>
                <w:color w:val="000000" w:themeColor="text1"/>
              </w:rPr>
            </w:pPr>
            <w:r>
              <w:rPr>
                <w:color w:val="000000" w:themeColor="text1"/>
              </w:rPr>
              <w:t>In addition, an IPCEI will have spill-over effects for the broader European economy and society in terms of:</w:t>
            </w:r>
          </w:p>
          <w:p w14:paraId="31A2E928" w14:textId="77777777" w:rsidR="00026246" w:rsidRDefault="00884217">
            <w:pPr>
              <w:pStyle w:val="Odsekzoznamu"/>
              <w:numPr>
                <w:ilvl w:val="0"/>
                <w:numId w:val="32"/>
              </w:numPr>
            </w:pPr>
            <w:r>
              <w:t>Boost competitiveness, by enhancing the competitiveness of EU companies in global markets. It will more generally contribute to strengthen the position of the EU in the nuclear sector;</w:t>
            </w:r>
          </w:p>
          <w:p w14:paraId="31A2E929" w14:textId="77777777" w:rsidR="00026246" w:rsidRDefault="00884217">
            <w:pPr>
              <w:pStyle w:val="Odsekzoznamu"/>
              <w:numPr>
                <w:ilvl w:val="0"/>
                <w:numId w:val="32"/>
              </w:numPr>
            </w:pPr>
            <w:r>
              <w:t>Improve the awareness and public acceptance of the nuclear technologies, by the involvement of all the stakeholders in communication activities, aiming to pass valuable, correct and fair messages to the general public, patient organizations, and local communities;</w:t>
            </w:r>
          </w:p>
          <w:p w14:paraId="31A2E92A" w14:textId="77777777" w:rsidR="00026246" w:rsidRDefault="00884217">
            <w:pPr>
              <w:pStyle w:val="Odsekzoznamu"/>
              <w:numPr>
                <w:ilvl w:val="0"/>
                <w:numId w:val="32"/>
              </w:numPr>
            </w:pPr>
            <w:r>
              <w:t>Stability and sustainability will be enhanced by increasing the domestic production of medical RIs, it can stabilize prices, enhance EU competitiveness, and stimulate exports of high-value products.</w:t>
            </w:r>
          </w:p>
          <w:p w14:paraId="31A2E92B" w14:textId="77777777" w:rsidR="00026246" w:rsidRDefault="00884217">
            <w:pPr>
              <w:pStyle w:val="Odsekzoznamu"/>
              <w:numPr>
                <w:ilvl w:val="0"/>
                <w:numId w:val="32"/>
              </w:numPr>
            </w:pPr>
            <w:r>
              <w:t>Creating a demand for further development of downstream sectors, such as encapsulation plants, distributors, transporters and end users of medical isotopes;</w:t>
            </w:r>
          </w:p>
          <w:p w14:paraId="31A2E92C" w14:textId="77777777" w:rsidR="00026246" w:rsidRDefault="00884217">
            <w:pPr>
              <w:pStyle w:val="Odsekzoznamu"/>
              <w:numPr>
                <w:ilvl w:val="0"/>
                <w:numId w:val="32"/>
              </w:numPr>
            </w:pPr>
            <w:r>
              <w:t>Contribute to the formation of a highly skilled workforce, in the nuclear and in the medical sectors, as well as across the value chain by increasing the production basis for medical isotopes in the EU</w:t>
            </w:r>
          </w:p>
          <w:p w14:paraId="31A2E92D" w14:textId="77777777" w:rsidR="00026246" w:rsidRDefault="00026246">
            <w:pPr>
              <w:pStyle w:val="Odsekzoznamu"/>
              <w:spacing w:after="120"/>
              <w:rPr>
                <w:lang w:val="en-US"/>
              </w:rPr>
            </w:pPr>
          </w:p>
          <w:p w14:paraId="31A2E92E" w14:textId="77777777" w:rsidR="00026246" w:rsidRDefault="00884217">
            <w:pPr>
              <w:pStyle w:val="Nadpis2"/>
            </w:pPr>
            <w:r>
              <w:t>Would the initiative address or aim to prevent a significant EU strategic dependency? If yes, please describe which dependency and how the initiative addresses it.</w:t>
            </w:r>
          </w:p>
          <w:p w14:paraId="31A2E92F" w14:textId="77777777" w:rsidR="00026246" w:rsidRDefault="00884217">
            <w:pPr>
              <w:spacing w:after="0"/>
              <w:rPr>
                <w:color w:val="000000" w:themeColor="text1"/>
              </w:rPr>
            </w:pPr>
            <w:r>
              <w:rPr>
                <w:color w:val="000000" w:themeColor="text1"/>
              </w:rPr>
              <w:t>The initiative would position the industrial actors and nuclear reactors as key players in securing the availability of crucial medical isotopes, significantly contributing to Europe's self-sufficiency and competitiveness in this vital sector. The EU could further reduce the dependency on Russian imports for medical isotopes and related materials mentioned in section 1. The initiative to produce medical isotopes marks a milestone in the nuclear industry's evolution, offering tangible healthcare benefits and contributing to a positive shift in public perception. It will positively impact:</w:t>
            </w:r>
          </w:p>
          <w:p w14:paraId="31A2E930" w14:textId="77777777" w:rsidR="00026246" w:rsidRDefault="00884217">
            <w:pPr>
              <w:pStyle w:val="Odsekzoznamu"/>
              <w:numPr>
                <w:ilvl w:val="0"/>
                <w:numId w:val="33"/>
              </w:numPr>
            </w:pPr>
            <w:r>
              <w:t>Sustainability in the Supply of Medical Isotopes</w:t>
            </w:r>
          </w:p>
          <w:p w14:paraId="31A2E931" w14:textId="77777777" w:rsidR="00026246" w:rsidRDefault="00884217">
            <w:pPr>
              <w:pStyle w:val="Odsekzoznamu"/>
              <w:numPr>
                <w:ilvl w:val="0"/>
                <w:numId w:val="33"/>
              </w:numPr>
            </w:pPr>
            <w:r>
              <w:t>Healthcare Security and Response Capability</w:t>
            </w:r>
          </w:p>
          <w:p w14:paraId="31A2E932" w14:textId="77777777" w:rsidR="00026246" w:rsidRDefault="00884217">
            <w:pPr>
              <w:pStyle w:val="Odsekzoznamu"/>
              <w:numPr>
                <w:ilvl w:val="0"/>
                <w:numId w:val="33"/>
              </w:numPr>
            </w:pPr>
            <w:r>
              <w:t>Control over a Critical Resource for Health</w:t>
            </w:r>
          </w:p>
          <w:p w14:paraId="31A2E933" w14:textId="77777777" w:rsidR="00026246" w:rsidRDefault="00884217">
            <w:pPr>
              <w:pStyle w:val="Odsekzoznamu"/>
              <w:numPr>
                <w:ilvl w:val="0"/>
                <w:numId w:val="33"/>
              </w:numPr>
            </w:pPr>
            <w:r>
              <w:t>Protection of the EU's Economic and Public Health Interests</w:t>
            </w:r>
          </w:p>
        </w:tc>
      </w:tr>
      <w:tr w:rsidR="00026246" w14:paraId="31A2E936" w14:textId="77777777">
        <w:tc>
          <w:tcPr>
            <w:tcW w:w="8602" w:type="dxa"/>
            <w:tcBorders>
              <w:top w:val="single" w:sz="4" w:space="0" w:color="auto"/>
              <w:left w:val="nil"/>
              <w:bottom w:val="single" w:sz="4" w:space="0" w:color="auto"/>
              <w:right w:val="nil"/>
            </w:tcBorders>
          </w:tcPr>
          <w:p w14:paraId="31A2E935" w14:textId="77777777" w:rsidR="00026246" w:rsidRDefault="00026246">
            <w:pPr>
              <w:rPr>
                <w:i/>
                <w:iCs/>
              </w:rPr>
            </w:pPr>
          </w:p>
        </w:tc>
      </w:tr>
      <w:tr w:rsidR="00026246" w14:paraId="31A2E938" w14:textId="77777777">
        <w:tc>
          <w:tcPr>
            <w:tcW w:w="860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1A2E937" w14:textId="77777777" w:rsidR="00026246" w:rsidRDefault="00884217">
            <w:pPr>
              <w:pStyle w:val="Nadpis1"/>
            </w:pPr>
            <w:r>
              <w:t>Market Dimension</w:t>
            </w:r>
          </w:p>
        </w:tc>
      </w:tr>
      <w:tr w:rsidR="00026246" w14:paraId="31A2E950" w14:textId="77777777">
        <w:tc>
          <w:tcPr>
            <w:tcW w:w="8602" w:type="dxa"/>
            <w:tcBorders>
              <w:top w:val="single" w:sz="4" w:space="0" w:color="auto"/>
              <w:left w:val="single" w:sz="4" w:space="0" w:color="auto"/>
              <w:bottom w:val="single" w:sz="4" w:space="0" w:color="auto"/>
              <w:right w:val="single" w:sz="4" w:space="0" w:color="auto"/>
            </w:tcBorders>
          </w:tcPr>
          <w:p w14:paraId="31A2E939" w14:textId="77777777" w:rsidR="00026246" w:rsidRDefault="00884217">
            <w:pPr>
              <w:rPr>
                <w:i/>
                <w:iCs/>
              </w:rPr>
            </w:pPr>
            <w:r>
              <w:rPr>
                <w:i/>
                <w:iCs/>
              </w:rPr>
              <w:t xml:space="preserve">The objective of this section is to assess whether there is a need for public intervention in the area. </w:t>
            </w:r>
          </w:p>
          <w:p w14:paraId="31A2E93A" w14:textId="77777777" w:rsidR="00026246" w:rsidRDefault="00884217">
            <w:pPr>
              <w:pStyle w:val="Nadpis2"/>
            </w:pPr>
            <w:r>
              <w:t xml:space="preserve">What </w:t>
            </w:r>
            <w:proofErr w:type="gramStart"/>
            <w:r>
              <w:t>are</w:t>
            </w:r>
            <w:proofErr w:type="gramEnd"/>
            <w:r>
              <w:t xml:space="preserve"> the important market, systemic failures, or societal challenges that the initiative will address? Why is public intervention necessary?</w:t>
            </w:r>
          </w:p>
          <w:p w14:paraId="31A2E93B" w14:textId="77777777" w:rsidR="00026246" w:rsidRDefault="00884217">
            <w:pPr>
              <w:pStyle w:val="Normlnywebov"/>
              <w:shd w:val="clear" w:color="auto" w:fill="FFFFFF"/>
              <w:spacing w:before="0" w:beforeAutospacing="0" w:after="240" w:afterAutospacing="0"/>
              <w:jc w:val="both"/>
              <w:rPr>
                <w:color w:val="000000"/>
              </w:rPr>
            </w:pPr>
            <w:r>
              <w:rPr>
                <w:color w:val="000000"/>
              </w:rPr>
              <w:t xml:space="preserve">Europe faces a turning point in health. Personalized medicine needs modern tools to early diagnose, efficient response to treatment, palliative care and therapy monitoring of diseases. An ageing population, the rising burden of cancer and neurodegenerative </w:t>
            </w:r>
            <w:r>
              <w:rPr>
                <w:color w:val="000000"/>
              </w:rPr>
              <w:lastRenderedPageBreak/>
              <w:t xml:space="preserve">diseases, in addition to world’s highest incidence of cardiovascular pathologies are all </w:t>
            </w:r>
            <w:r>
              <w:rPr>
                <w:b/>
                <w:bCs/>
                <w:color w:val="000000"/>
              </w:rPr>
              <w:t>placing pressure on health systems across Europe.</w:t>
            </w:r>
            <w:r>
              <w:rPr>
                <w:color w:val="000000"/>
              </w:rPr>
              <w:t xml:space="preserve"> EU ambition is to enable </w:t>
            </w:r>
            <w:r>
              <w:rPr>
                <w:b/>
                <w:bCs/>
                <w:color w:val="000000"/>
              </w:rPr>
              <w:t>people in Europe to live longer, healthier lives.</w:t>
            </w:r>
            <w:r>
              <w:rPr>
                <w:color w:val="000000"/>
              </w:rPr>
              <w:t xml:space="preserve"> The EU support is a catalyst and a guarantee for building and growing businesses to create products and services that progress healthcare in Europe, while strengthening our economy. The key problems remain related to affordability of treatments, delays in supplies due to imports and extended outages of ageing EU facilities, the supply chain aspects including the supply of fuel for research reactors, the need to secure new innovative radioisotope production in the UE via a coordinated plan, which can also encompass downstream aspects. </w:t>
            </w:r>
            <w:r>
              <w:t>An IPCEI for non-energetical applications of nuclear technologies, mainly</w:t>
            </w:r>
            <w:r>
              <w:rPr>
                <w:b/>
                <w:bCs/>
              </w:rPr>
              <w:t xml:space="preserve"> </w:t>
            </w:r>
            <w:r>
              <w:t xml:space="preserve">development of innovative technologies for medical radioisotopes production, would respond to several market failures, including political risk, and coordination issues. It </w:t>
            </w:r>
            <w:r>
              <w:rPr>
                <w:color w:val="000000"/>
              </w:rPr>
              <w:t>worth mentioning as coordination failure the lack of a legal framework harmonised at the EU level that can hinder the cooperation between companies, and between doctors, patient organizations and pharmaceutical companies.</w:t>
            </w:r>
          </w:p>
          <w:p w14:paraId="31A2E93C" w14:textId="77777777" w:rsidR="00026246" w:rsidRDefault="00884217">
            <w:pPr>
              <w:pStyle w:val="Text2"/>
              <w:numPr>
                <w:ilvl w:val="0"/>
                <w:numId w:val="26"/>
              </w:numPr>
              <w:spacing w:after="0"/>
              <w:ind w:left="448" w:hanging="448"/>
            </w:pPr>
            <w:r>
              <w:t xml:space="preserve">Patients access to innovative therapeutic strategies in cancer and neurodegenerative diseases depends largely on political choices made by the EU Member States, in terms of </w:t>
            </w:r>
            <w:r>
              <w:rPr>
                <w:b/>
                <w:bCs/>
              </w:rPr>
              <w:t>health policies and public investments.</w:t>
            </w:r>
            <w:r>
              <w:t xml:space="preserve"> This political insecurity can hinder the capacity of projects to have access to financing</w:t>
            </w:r>
            <w:r>
              <w:rPr>
                <w:color w:val="000000"/>
              </w:rPr>
              <w:t xml:space="preserve"> (asymmetric information)</w:t>
            </w:r>
            <w:r>
              <w:t xml:space="preserve">. Private investors in pharmaceutical industry often point the limited availability of therapeutic RIs, which stop the projects aimed at increasing production of RPs, as they perceive the risk as too high or unpredictable. In their risk analysis, investors will take into account the possibility of a structural change in political direction regarding support in implementing new production technologies of medical RIs. </w:t>
            </w:r>
          </w:p>
          <w:p w14:paraId="31A2E93D" w14:textId="77777777" w:rsidR="00026246" w:rsidRDefault="00884217">
            <w:pPr>
              <w:pStyle w:val="Text2"/>
              <w:numPr>
                <w:ilvl w:val="0"/>
                <w:numId w:val="26"/>
              </w:numPr>
              <w:spacing w:after="0"/>
              <w:ind w:left="448" w:hanging="448"/>
            </w:pPr>
            <w:r>
              <w:rPr>
                <w:b/>
              </w:rPr>
              <w:t>Securing private investments</w:t>
            </w:r>
            <w:r>
              <w:t>. Private investors are often reluctant to fund isotope production due to high upfront costs, long payback periods, and the risk of regulatory hurdles (a</w:t>
            </w:r>
            <w:r>
              <w:rPr>
                <w:color w:val="000000"/>
              </w:rPr>
              <w:t>symmetric information)</w:t>
            </w:r>
            <w:r>
              <w:t>. Public funding or EU-supported projects could address this gap, enabling long-term investments in isotope production infrastructure.</w:t>
            </w:r>
          </w:p>
          <w:p w14:paraId="31A2E93E" w14:textId="77777777" w:rsidR="00026246" w:rsidRDefault="00884217">
            <w:pPr>
              <w:pStyle w:val="Text2"/>
              <w:numPr>
                <w:ilvl w:val="0"/>
                <w:numId w:val="26"/>
              </w:numPr>
              <w:spacing w:after="0"/>
              <w:ind w:left="448" w:hanging="448"/>
            </w:pPr>
            <w:r>
              <w:rPr>
                <w:b/>
              </w:rPr>
              <w:t>Security of supply and resilience.</w:t>
            </w:r>
            <w:r>
              <w:t xml:space="preserve"> Dependence on non-EU suppliers increases vulnerability to geopolitical tensions and trade restrictions (negative externality). Strengthening EU-based production enhances strategic autonomy and supply chain security, including with regards to localizing the production of HALEU for research reactors</w:t>
            </w:r>
          </w:p>
          <w:p w14:paraId="31A2E93F" w14:textId="77777777" w:rsidR="00026246" w:rsidRDefault="00884217">
            <w:pPr>
              <w:pStyle w:val="Text2"/>
              <w:numPr>
                <w:ilvl w:val="0"/>
                <w:numId w:val="26"/>
              </w:numPr>
              <w:spacing w:after="0"/>
              <w:ind w:left="448" w:hanging="448"/>
            </w:pPr>
            <w:r>
              <w:rPr>
                <w:b/>
              </w:rPr>
              <w:t>R&amp;D efforts</w:t>
            </w:r>
            <w:r>
              <w:t xml:space="preserve"> are generally considerable and costly due to the expansive technologies needed for testing and production (positive externalities). Boosting production of medical isotopes in the EU can contribute to the efforts of the R&amp;D sectors to research and develop new treatments, also preserving local know how. T</w:t>
            </w:r>
            <w:r>
              <w:rPr>
                <w:color w:val="000000"/>
              </w:rPr>
              <w:t>hese positive effects can be used by other market participants as they cannot be fully internalised by the company or research centres that undertook the initial innovation.</w:t>
            </w:r>
          </w:p>
          <w:p w14:paraId="31A2E940" w14:textId="77777777" w:rsidR="00026246" w:rsidRDefault="00884217">
            <w:pPr>
              <w:pStyle w:val="Text2"/>
              <w:numPr>
                <w:ilvl w:val="0"/>
                <w:numId w:val="26"/>
              </w:numPr>
              <w:spacing w:after="0"/>
              <w:ind w:left="448" w:hanging="448"/>
            </w:pPr>
            <w:r>
              <w:rPr>
                <w:b/>
              </w:rPr>
              <w:t xml:space="preserve">Workforce development in nuclear medicine </w:t>
            </w:r>
            <w:r>
              <w:t>(coordination failure)</w:t>
            </w:r>
            <w:r>
              <w:rPr>
                <w:b/>
              </w:rPr>
              <w:t xml:space="preserve">. </w:t>
            </w:r>
            <w:r>
              <w:t>A lack of skilled professionals in nuclear science and medicine limits the effective use of isotopes in healthcare. A more concerted action should accord the needs for multidisciplinary and highly skilled personnel in nuclear, pharmaceutical and medical fields to better address the societal challenges of the initiative. An EU project can include training and research components, fostering skilled workforce for the medical isotope industry and higher retention in the sector.</w:t>
            </w:r>
          </w:p>
          <w:p w14:paraId="31A2E941" w14:textId="77777777" w:rsidR="00026246" w:rsidRDefault="00026246">
            <w:pPr>
              <w:pStyle w:val="Text2"/>
              <w:spacing w:after="0"/>
              <w:ind w:left="448"/>
            </w:pPr>
          </w:p>
          <w:p w14:paraId="31A2E942" w14:textId="77777777" w:rsidR="00026246" w:rsidRDefault="00884217">
            <w:pPr>
              <w:pStyle w:val="Nadpis2"/>
              <w:numPr>
                <w:ilvl w:val="0"/>
                <w:numId w:val="0"/>
              </w:numPr>
              <w:ind w:left="733"/>
            </w:pPr>
            <w:r>
              <w:lastRenderedPageBreak/>
              <w:t>4.</w:t>
            </w:r>
            <w:proofErr w:type="gramStart"/>
            <w:r>
              <w:t>2.Is</w:t>
            </w:r>
            <w:proofErr w:type="gramEnd"/>
            <w:r>
              <w:t xml:space="preserve"> there an existing EU value chain in the area? Is there a pipeline of private projects in the area that needs de-risking/ financing? On which basis can individual projects be integrated in a common structure/roadmap or programme aiming at a coherent, systemic approach?  </w:t>
            </w:r>
          </w:p>
          <w:p w14:paraId="31A2E943" w14:textId="77777777" w:rsidR="00026246" w:rsidRDefault="00884217">
            <w:pPr>
              <w:spacing w:after="120"/>
            </w:pPr>
            <w:r>
              <w:t>Well defined and comprehensive European regulations are in force, both in pharmaceutical production and nuclear technologies and applications. Differences in their implementation at the national level (e.g., different required documents, permits, certifications, deadlines) should be addressed, as they significantly hinder industrial producers of RIs and finished RPs.</w:t>
            </w:r>
          </w:p>
          <w:p w14:paraId="31A2E944" w14:textId="77777777" w:rsidR="00026246" w:rsidRDefault="00884217">
            <w:pPr>
              <w:spacing w:after="120"/>
            </w:pPr>
            <w:r>
              <w:t>Concerted action at EU level concluded to SAMIRA Action Plan and Europe’s Beating Cancer Plan. This proposal fits into these perspectives, giving a tool to achieve their ambitious goals.</w:t>
            </w:r>
          </w:p>
          <w:p w14:paraId="31A2E945" w14:textId="77777777" w:rsidR="00026246" w:rsidRDefault="00884217">
            <w:pPr>
              <w:spacing w:after="120"/>
            </w:pPr>
            <w:r>
              <w:t>An IPCEI on the topic will leverage or build on the results of recently completed or ongoing EU-funded projects:</w:t>
            </w:r>
          </w:p>
          <w:p w14:paraId="31A2E946" w14:textId="77777777" w:rsidR="00026246" w:rsidRDefault="00884217">
            <w:pPr>
              <w:pStyle w:val="Odsekzoznamu"/>
              <w:numPr>
                <w:ilvl w:val="0"/>
                <w:numId w:val="34"/>
              </w:numPr>
            </w:pPr>
            <w:r>
              <w:t>PRISMAP (</w:t>
            </w:r>
            <w:hyperlink r:id="rId15" w:history="1">
              <w:r>
                <w:rPr>
                  <w:rStyle w:val="Hypertextovprepojenie"/>
                </w:rPr>
                <w:t>www.prismap.eu</w:t>
              </w:r>
            </w:hyperlink>
            <w:r>
              <w:t>), building a European network for medical radionuclides</w:t>
            </w:r>
          </w:p>
          <w:p w14:paraId="31A2E947" w14:textId="77777777" w:rsidR="00026246" w:rsidRDefault="00884217">
            <w:pPr>
              <w:pStyle w:val="Odsekzoznamu"/>
              <w:numPr>
                <w:ilvl w:val="0"/>
                <w:numId w:val="34"/>
              </w:numPr>
            </w:pPr>
            <w:r>
              <w:t>SECURE (</w:t>
            </w:r>
            <w:hyperlink r:id="rId16" w:history="1">
              <w:r>
                <w:rPr>
                  <w:rStyle w:val="Hypertextovprepojenie"/>
                </w:rPr>
                <w:t>www.enen.eu/secure-project</w:t>
              </w:r>
            </w:hyperlink>
            <w:r>
              <w:t xml:space="preserve">), Strengthening the European Chain of </w:t>
            </w:r>
            <w:proofErr w:type="spellStart"/>
            <w:r>
              <w:t>sUpply</w:t>
            </w:r>
            <w:proofErr w:type="spellEnd"/>
            <w:r>
              <w:t xml:space="preserve"> for next generation medical </w:t>
            </w:r>
            <w:proofErr w:type="spellStart"/>
            <w:r>
              <w:t>RadionuclidEs</w:t>
            </w:r>
            <w:proofErr w:type="spellEnd"/>
          </w:p>
          <w:p w14:paraId="31A2E948" w14:textId="77777777" w:rsidR="00026246" w:rsidRDefault="00884217">
            <w:pPr>
              <w:pStyle w:val="Odsekzoznamu"/>
              <w:numPr>
                <w:ilvl w:val="0"/>
                <w:numId w:val="34"/>
              </w:numPr>
            </w:pPr>
            <w:r>
              <w:t>TOURR (</w:t>
            </w:r>
            <w:hyperlink r:id="rId17" w:history="1">
              <w:r>
                <w:rPr>
                  <w:rStyle w:val="Hypertextovprepojenie"/>
                </w:rPr>
                <w:t>www.tourr.eu</w:t>
              </w:r>
            </w:hyperlink>
            <w:r>
              <w:t>), Towards Optimized Use of Research Reactors in Europe</w:t>
            </w:r>
          </w:p>
          <w:p w14:paraId="31A2E949" w14:textId="77777777" w:rsidR="00026246" w:rsidRDefault="00884217">
            <w:pPr>
              <w:pStyle w:val="Odsekzoznamu"/>
              <w:numPr>
                <w:ilvl w:val="0"/>
                <w:numId w:val="34"/>
              </w:numPr>
            </w:pPr>
            <w:r>
              <w:t xml:space="preserve">Accelerate.EU, a project which involves industry, aiming to elevate the future of cancer care with alpha </w:t>
            </w:r>
            <w:proofErr w:type="spellStart"/>
            <w:r>
              <w:t>theranostics</w:t>
            </w:r>
            <w:proofErr w:type="spellEnd"/>
            <w:r>
              <w:t>, recently funded under Innovative Health Initiative (IHI)</w:t>
            </w:r>
          </w:p>
          <w:p w14:paraId="31A2E94A" w14:textId="77777777" w:rsidR="00026246" w:rsidRDefault="00884217">
            <w:pPr>
              <w:spacing w:after="120"/>
            </w:pPr>
            <w:r>
              <w:t>IPCEI will collaborate with European Radioisotope Valley Initiative (ERVI) by sharing information, joint calls and events, cooperation platforms, coordinated communication campaign, and implementing its recommendations.</w:t>
            </w:r>
          </w:p>
          <w:p w14:paraId="31A2E94B" w14:textId="77777777" w:rsidR="00026246" w:rsidRDefault="00884217">
            <w:pPr>
              <w:pStyle w:val="Nadpis2"/>
              <w:numPr>
                <w:ilvl w:val="0"/>
                <w:numId w:val="0"/>
              </w:numPr>
              <w:ind w:left="1077" w:hanging="595"/>
            </w:pPr>
            <w:r>
              <w:t>4.</w:t>
            </w:r>
            <w:proofErr w:type="gramStart"/>
            <w:r>
              <w:t>3.How</w:t>
            </w:r>
            <w:proofErr w:type="gramEnd"/>
            <w:r>
              <w:t xml:space="preserve"> would the IPCEI help to leverage or trigger more private investments or financing from the market in the technology area concerned?</w:t>
            </w:r>
          </w:p>
          <w:p w14:paraId="31A2E94C" w14:textId="77777777" w:rsidR="00026246" w:rsidRDefault="00884217">
            <w:pPr>
              <w:pStyle w:val="Text2"/>
              <w:ind w:left="0"/>
              <w:rPr>
                <w:lang w:val="en-IE"/>
              </w:rPr>
            </w:pPr>
            <w:r>
              <w:rPr>
                <w:lang w:val="en-IE"/>
              </w:rPr>
              <w:t>The EU Taxonomy and the Complementary Delegated Act recognize nuclear energy as a transitional, low-carbon energy source that can contribute to decarbonisation (if strict safety and waste management conditions are met). While this allows nuclear projects to access sustainable finance, nuclear remains outside the scope of many of them and long-term regulatory, political, and public perception challenges remain.</w:t>
            </w:r>
          </w:p>
          <w:p w14:paraId="31A2E94D" w14:textId="77777777" w:rsidR="00026246" w:rsidRDefault="00884217">
            <w:pPr>
              <w:pStyle w:val="Text2"/>
              <w:ind w:left="0"/>
              <w:rPr>
                <w:lang w:val="en-IE"/>
              </w:rPr>
            </w:pPr>
            <w:r>
              <w:rPr>
                <w:lang w:val="en-IE"/>
              </w:rPr>
              <w:t>There has been very limited experience from EIB and EBRD in terms of financing medical isotopes production projects in the EU.</w:t>
            </w:r>
          </w:p>
          <w:p w14:paraId="31A2E94E" w14:textId="77777777" w:rsidR="00026246" w:rsidRDefault="00884217">
            <w:pPr>
              <w:pStyle w:val="Text2"/>
              <w:ind w:left="0"/>
            </w:pPr>
            <w:r>
              <w:t xml:space="preserve">The IPCEI would address the industrial actor’s reluctance to involve in the medical RIs production, by ensuring a coordinated investment in the implementation of new and innovative technologies for the production of diverse medical isotopes and processing aspects. It would enable investments from the nuclear power sector, pharmaceutical industry, clinical trials companies, marketing/distributor chains, and associated business, to answer the future needs of the MS in terms of therapeutic RIs supply and availability. Moreover, the related education activities will contribute to a sustainable workforce in the nuclear sector, while a strong communication plan will assure the increase of the public awareness regarding the societal benefits of the nuclear industry. </w:t>
            </w:r>
            <w:r>
              <w:lastRenderedPageBreak/>
              <w:t>EU support gives security and visibility to private investors, and reassure the MS support to the nuclear and nuclear pharmaceutical industries.</w:t>
            </w:r>
          </w:p>
          <w:p w14:paraId="31A2E94F" w14:textId="77777777" w:rsidR="00026246" w:rsidRDefault="00026246">
            <w:pPr>
              <w:pStyle w:val="Text2"/>
              <w:ind w:left="0"/>
            </w:pPr>
          </w:p>
        </w:tc>
      </w:tr>
      <w:tr w:rsidR="00026246" w14:paraId="31A2E952" w14:textId="77777777">
        <w:tc>
          <w:tcPr>
            <w:tcW w:w="8602" w:type="dxa"/>
            <w:tcBorders>
              <w:top w:val="single" w:sz="4" w:space="0" w:color="auto"/>
              <w:left w:val="nil"/>
              <w:bottom w:val="single" w:sz="4" w:space="0" w:color="auto"/>
              <w:right w:val="nil"/>
            </w:tcBorders>
          </w:tcPr>
          <w:p w14:paraId="31A2E951" w14:textId="77777777" w:rsidR="00026246" w:rsidRDefault="00026246">
            <w:pPr>
              <w:rPr>
                <w:i/>
                <w:iCs/>
              </w:rPr>
            </w:pPr>
          </w:p>
        </w:tc>
      </w:tr>
      <w:tr w:rsidR="00026246" w14:paraId="31A2E954" w14:textId="77777777">
        <w:tc>
          <w:tcPr>
            <w:tcW w:w="860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1A2E953" w14:textId="77777777" w:rsidR="00026246" w:rsidRDefault="00884217">
            <w:pPr>
              <w:pStyle w:val="Nadpis1"/>
            </w:pPr>
            <w:r>
              <w:t>IPCEI value-added</w:t>
            </w:r>
          </w:p>
        </w:tc>
      </w:tr>
      <w:tr w:rsidR="00026246" w14:paraId="31A2E972" w14:textId="77777777">
        <w:tc>
          <w:tcPr>
            <w:tcW w:w="8602" w:type="dxa"/>
            <w:tcBorders>
              <w:top w:val="single" w:sz="4" w:space="0" w:color="auto"/>
              <w:bottom w:val="single" w:sz="4" w:space="0" w:color="auto"/>
            </w:tcBorders>
          </w:tcPr>
          <w:p w14:paraId="31A2E955" w14:textId="77777777" w:rsidR="00026246" w:rsidRDefault="00884217">
            <w:pPr>
              <w:rPr>
                <w:i/>
                <w:iCs/>
              </w:rPr>
            </w:pPr>
            <w:r>
              <w:rPr>
                <w:i/>
                <w:iCs/>
              </w:rPr>
              <w:t xml:space="preserve">The objective of this section is to assess whether an IPCEI would be an efficient tool to intervene in the given area. </w:t>
            </w:r>
          </w:p>
          <w:p w14:paraId="31A2E956" w14:textId="77777777" w:rsidR="00026246" w:rsidRDefault="00884217">
            <w:pPr>
              <w:pStyle w:val="Nadpis2"/>
            </w:pPr>
            <w:r>
              <w:t>Can the area be entirely supported by other EU and/or national policy interventions?</w:t>
            </w:r>
          </w:p>
          <w:p w14:paraId="31A2E957" w14:textId="77777777" w:rsidR="00026246" w:rsidRDefault="00884217">
            <w:pPr>
              <w:pStyle w:val="Text2"/>
            </w:pPr>
            <w:r>
              <w:t xml:space="preserve">No, not entirely. In addition to existing EU programs and policies addressing the issue of medical isotopes and building on the expertise and research already available in this area, the IPCEI project will try to bridge the gap between research and production, by encompassing a wide range of stakeholders from MS authorities, companies involved in the production of medical isotopes, supply chain partners, universities, R&amp;D institutes, regulatory authorities (tackling aspects related to the transport of radioactive isotopes), distributors etc in a holistic approach aimed at integrating different links and pieces of the puzzle in order to ensure increased access of patients to diagnosis and treatment and timely delivery of isotopes where they are needed, at reduced cost. The project will also take a more geopolitical dimension in terms of consolidating production basis in Europe and reducing import dependencies.   </w:t>
            </w:r>
          </w:p>
          <w:p w14:paraId="31A2E958" w14:textId="77777777" w:rsidR="00026246" w:rsidRDefault="00884217">
            <w:pPr>
              <w:pStyle w:val="Nadpis2"/>
            </w:pPr>
            <w:r>
              <w:t xml:space="preserve">Can the area be supported by alternative funding tools, such as Horizon, DEP, CEF or other appropriate State aid instruments, such as CEEAG, RDIF, GBER? </w:t>
            </w:r>
          </w:p>
          <w:p w14:paraId="31A2E959" w14:textId="77777777" w:rsidR="00026246" w:rsidRDefault="00884217">
            <w:pPr>
              <w:pStyle w:val="Text2"/>
            </w:pPr>
            <w:r>
              <w:t xml:space="preserve">Yes, only partly. While Horizon Europe can contribute to R&amp;D aspects, we see the need for extended state aid and other instruments such as Innovation Fund, Just Transition Fund, </w:t>
            </w:r>
            <w:proofErr w:type="spellStart"/>
            <w:r>
              <w:t>InvestEU</w:t>
            </w:r>
            <w:proofErr w:type="spellEnd"/>
            <w:r>
              <w:t xml:space="preserve"> to boost EU competitiveness, resilience and security of supply of medical isotopes by developing new projects and infrastructure both for innovative production techniques as well as regional processing facilities ensuring a better distribution and timely access to treatments.</w:t>
            </w:r>
          </w:p>
          <w:p w14:paraId="31A2E95A" w14:textId="77777777" w:rsidR="00026246" w:rsidRDefault="00884217">
            <w:pPr>
              <w:pStyle w:val="Nadpis2"/>
            </w:pPr>
            <w:r>
              <w:t xml:space="preserve">Would an existing industrial alliance or the creation of an industrial alliance facilitate an EU ecosystem in the relevant area (e.g. market creation by regulatory requirements)? </w:t>
            </w:r>
          </w:p>
          <w:p w14:paraId="31A2E95B" w14:textId="77777777" w:rsidR="00026246" w:rsidRDefault="00884217">
            <w:pPr>
              <w:pStyle w:val="Text2"/>
            </w:pPr>
            <w:r>
              <w:t xml:space="preserve">At present, there is no industrial alliance dealing with the production and supply of medical isotopes in the EU. While such an industrial alliance would be helpful, developing new production facilities and ensuring an integrated approach to the supply chain, skills, waste management aspects would require a greater involvement of MS competent authorities (for example, </w:t>
            </w:r>
            <w:r>
              <w:lastRenderedPageBreak/>
              <w:t xml:space="preserve">regulatory aspects, regulatory sandbox for new technologies, permitting, etc). </w:t>
            </w:r>
          </w:p>
          <w:p w14:paraId="31A2E95C" w14:textId="77777777" w:rsidR="00026246" w:rsidRDefault="00884217">
            <w:pPr>
              <w:pStyle w:val="Text2"/>
            </w:pPr>
            <w:r>
              <w:t xml:space="preserve">The aim of the IPCEI project for medical isotopes would be to pre-establish and pre-align as much as possible the technical, </w:t>
            </w:r>
            <w:proofErr w:type="spellStart"/>
            <w:r>
              <w:t>economical</w:t>
            </w:r>
            <w:proofErr w:type="spellEnd"/>
            <w:r>
              <w:t xml:space="preserve"> and social aspects for boosting production in Europe, in an integrated manner, involving new technologies and processes. The result of the IPCEI should be a commercially viable solution, that can attract financing for deployment and implementation.</w:t>
            </w:r>
          </w:p>
          <w:p w14:paraId="31A2E95D" w14:textId="77777777" w:rsidR="00026246" w:rsidRDefault="00884217">
            <w:pPr>
              <w:pStyle w:val="Nadpis2"/>
            </w:pPr>
            <w:r>
              <w:t xml:space="preserve">What would be the specific benefits of the IPCEI tool in the given </w:t>
            </w:r>
            <w:proofErr w:type="spellStart"/>
            <w:proofErr w:type="gramStart"/>
            <w:r>
              <w:t>area?The</w:t>
            </w:r>
            <w:proofErr w:type="spellEnd"/>
            <w:proofErr w:type="gramEnd"/>
            <w:r>
              <w:t xml:space="preserve"> main benefits would consist in: </w:t>
            </w:r>
          </w:p>
          <w:p w14:paraId="31A2E95E" w14:textId="77777777" w:rsidR="00026246" w:rsidRDefault="00884217">
            <w:pPr>
              <w:pStyle w:val="Nadpis3"/>
              <w:numPr>
                <w:ilvl w:val="0"/>
                <w:numId w:val="0"/>
              </w:numPr>
              <w:spacing w:after="0"/>
              <w:rPr>
                <w:b/>
              </w:rPr>
            </w:pPr>
            <w:r>
              <w:rPr>
                <w:rStyle w:val="Vrazn"/>
                <w:bCs w:val="0"/>
              </w:rPr>
              <w:t>1. Strategic autonomy and s</w:t>
            </w:r>
            <w:r>
              <w:rPr>
                <w:rStyle w:val="Vrazn"/>
              </w:rPr>
              <w:t>ecurity of supply</w:t>
            </w:r>
          </w:p>
          <w:p w14:paraId="31A2E95F" w14:textId="77777777" w:rsidR="00026246" w:rsidRDefault="00884217">
            <w:pPr>
              <w:spacing w:after="0"/>
            </w:pPr>
            <w:r>
              <w:rPr>
                <w:rStyle w:val="Vrazn"/>
                <w:b w:val="0"/>
              </w:rPr>
              <w:t>The IPCEI project would contribute to the reduction of</w:t>
            </w:r>
            <w:r>
              <w:t xml:space="preserve"> EU dependence on non-EU suppliers for critical medical isotopes, such as molybdenum-99, cobalt – 60, technetium – 99, wiodine-131, and lutetium-177, which are vital for diagnostic imaging and cancer treatments and ensure uninterrupted supply during geopolitical crises, reactor outages, or logistical disruptions, enhancing the EU's resilience and sovereignty in healthcare.</w:t>
            </w:r>
          </w:p>
          <w:p w14:paraId="31A2E960" w14:textId="77777777" w:rsidR="00026246" w:rsidRDefault="00884217">
            <w:pPr>
              <w:spacing w:after="0"/>
            </w:pPr>
            <w:r>
              <w:t>The project also aims to develop European capacity for fuel metallisation in order to address the specific needs of radioisotopes production with research reactors. Furthermore, European industrial capacity will address the significant security risk associated with dependence on RU for the supply of target stable isotopes.</w:t>
            </w:r>
          </w:p>
          <w:p w14:paraId="31A2E961" w14:textId="77777777" w:rsidR="00026246" w:rsidRDefault="00884217">
            <w:pPr>
              <w:pStyle w:val="Nadpis3"/>
              <w:numPr>
                <w:ilvl w:val="0"/>
                <w:numId w:val="0"/>
              </w:numPr>
              <w:spacing w:after="0"/>
            </w:pPr>
            <w:r>
              <w:rPr>
                <w:rStyle w:val="Vrazn"/>
                <w:b w:val="0"/>
                <w:bCs w:val="0"/>
              </w:rPr>
              <w:t xml:space="preserve">2. </w:t>
            </w:r>
            <w:r>
              <w:rPr>
                <w:rStyle w:val="Vrazn"/>
                <w:bCs w:val="0"/>
              </w:rPr>
              <w:t>Advancing healthcare access and innovation</w:t>
            </w:r>
          </w:p>
          <w:p w14:paraId="31A2E962" w14:textId="77777777" w:rsidR="00026246" w:rsidRDefault="00884217">
            <w:pPr>
              <w:spacing w:after="0"/>
            </w:pPr>
            <w:r>
              <w:rPr>
                <w:bCs/>
              </w:rPr>
              <w:t xml:space="preserve">By </w:t>
            </w:r>
            <w:r>
              <w:t>boosting EU production of medical isotopes using innovative technologies and new processes, the project could increase access to nuclear medicine for diagnosis and treatment across EU countries by ensuring a stable supply of high-quality isotopes. It could also expand the availability of life-saving procedures, such as PET and SPECT scans, and cancer therapies using isotopes like lutetium-177 and foster innovation in radiopharmaceuticals, enabling the development of next-generation treatments for complex diseases, including personalized medicine.</w:t>
            </w:r>
          </w:p>
          <w:p w14:paraId="31A2E963" w14:textId="77777777" w:rsidR="00026246" w:rsidRDefault="00884217">
            <w:pPr>
              <w:pStyle w:val="Nadpis3"/>
              <w:numPr>
                <w:ilvl w:val="0"/>
                <w:numId w:val="0"/>
              </w:numPr>
              <w:spacing w:after="0"/>
              <w:rPr>
                <w:b/>
              </w:rPr>
            </w:pPr>
            <w:r>
              <w:rPr>
                <w:rStyle w:val="Vrazn"/>
                <w:bCs w:val="0"/>
              </w:rPr>
              <w:t>3. Boosting research and development</w:t>
            </w:r>
          </w:p>
          <w:p w14:paraId="31A2E964" w14:textId="77777777" w:rsidR="00026246" w:rsidRDefault="00884217">
            <w:pPr>
              <w:spacing w:after="0"/>
            </w:pPr>
            <w:r>
              <w:rPr>
                <w:rStyle w:val="Vrazn"/>
                <w:b w:val="0"/>
              </w:rPr>
              <w:t>The project would</w:t>
            </w:r>
            <w:r>
              <w:rPr>
                <w:rStyle w:val="Vrazn"/>
              </w:rPr>
              <w:t xml:space="preserve"> </w:t>
            </w:r>
            <w:r>
              <w:t>encourage collaboration between academia, research institutions, and industry on isotope production and nuclear applications, by promoting innovation in alternative production technologies. It can contribute to positioning the EU as a leader in medical isotope production and advanced nuclear applications, creating intellectual property and high-tech capabilities. The project could also promote cooperation among European stakeholders, from nuclear facilities to healthcare providers, strengthening unity in addressing healthcare challenges.</w:t>
            </w:r>
          </w:p>
          <w:p w14:paraId="31A2E965" w14:textId="77777777" w:rsidR="00026246" w:rsidRDefault="00884217">
            <w:pPr>
              <w:pStyle w:val="Nadpis3"/>
              <w:numPr>
                <w:ilvl w:val="0"/>
                <w:numId w:val="0"/>
              </w:numPr>
              <w:spacing w:after="0"/>
            </w:pPr>
            <w:r>
              <w:rPr>
                <w:rStyle w:val="Vrazn"/>
                <w:bCs w:val="0"/>
              </w:rPr>
              <w:t>4. Economic and industrial benefits</w:t>
            </w:r>
          </w:p>
          <w:p w14:paraId="31A2E966" w14:textId="77777777" w:rsidR="00026246" w:rsidRDefault="00884217">
            <w:pPr>
              <w:spacing w:after="0"/>
            </w:pPr>
            <w:r>
              <w:rPr>
                <w:rStyle w:val="Vrazn"/>
                <w:b w:val="0"/>
              </w:rPr>
              <w:t>The project would</w:t>
            </w:r>
            <w:r>
              <w:rPr>
                <w:rStyle w:val="Vrazn"/>
              </w:rPr>
              <w:t xml:space="preserve"> </w:t>
            </w:r>
            <w:r>
              <w:t>strengthen the EU's industrial base by fostering new businesses and jobs in high-tech sectors related to nuclear medicine and isotope production. It can contribute to the development of supply chain ecosystems for isotopes and radiopharmaceuticals, benefiting both large companies and SMEs and enhance competitiveness of the EU in the global nuclear medicine market, capturing a larger share of the growing demand for medical isotopes.</w:t>
            </w:r>
          </w:p>
          <w:p w14:paraId="31A2E967" w14:textId="77777777" w:rsidR="00026246" w:rsidRDefault="00884217">
            <w:pPr>
              <w:pStyle w:val="Nadpis3"/>
              <w:numPr>
                <w:ilvl w:val="0"/>
                <w:numId w:val="0"/>
              </w:numPr>
              <w:spacing w:after="0"/>
              <w:rPr>
                <w:rStyle w:val="Vrazn"/>
                <w:bCs w:val="0"/>
              </w:rPr>
            </w:pPr>
            <w:r>
              <w:rPr>
                <w:rStyle w:val="Vrazn"/>
                <w:bCs w:val="0"/>
              </w:rPr>
              <w:t>5. Addressing market failures</w:t>
            </w:r>
          </w:p>
          <w:p w14:paraId="31A2E968" w14:textId="77777777" w:rsidR="00026246" w:rsidRDefault="00884217">
            <w:pPr>
              <w:pStyle w:val="Text3"/>
              <w:spacing w:after="0"/>
              <w:ind w:left="19" w:hanging="19"/>
            </w:pPr>
            <w:r>
              <w:t>The project would address structural weaknesses in the isotope market, such as:</w:t>
            </w:r>
          </w:p>
          <w:p w14:paraId="31A2E969" w14:textId="77777777" w:rsidR="00026246" w:rsidRDefault="00884217">
            <w:pPr>
              <w:numPr>
                <w:ilvl w:val="1"/>
                <w:numId w:val="28"/>
              </w:numPr>
              <w:spacing w:after="0"/>
            </w:pPr>
            <w:r>
              <w:t>High upfront capital investment costs.</w:t>
            </w:r>
          </w:p>
          <w:p w14:paraId="31A2E96A" w14:textId="77777777" w:rsidR="00026246" w:rsidRDefault="00884217">
            <w:pPr>
              <w:numPr>
                <w:ilvl w:val="1"/>
                <w:numId w:val="28"/>
              </w:numPr>
              <w:spacing w:after="0"/>
            </w:pPr>
            <w:r>
              <w:t>Limited financial returns due to the public good nature of isotopes.</w:t>
            </w:r>
          </w:p>
          <w:p w14:paraId="31A2E96B" w14:textId="77777777" w:rsidR="00026246" w:rsidRDefault="00884217">
            <w:pPr>
              <w:spacing w:after="0"/>
            </w:pPr>
            <w:r>
              <w:t>Public-private co-funding under the IPCEI framework could mitigate these barriers, ensuring long-term sustainability and resilience of isotope production.</w:t>
            </w:r>
          </w:p>
          <w:p w14:paraId="31A2E96C" w14:textId="77777777" w:rsidR="00026246" w:rsidRDefault="00884217">
            <w:pPr>
              <w:pStyle w:val="Nadpis3"/>
              <w:numPr>
                <w:ilvl w:val="0"/>
                <w:numId w:val="0"/>
              </w:numPr>
              <w:spacing w:after="0"/>
              <w:rPr>
                <w:b/>
              </w:rPr>
            </w:pPr>
            <w:r>
              <w:rPr>
                <w:rStyle w:val="Vrazn"/>
                <w:bCs w:val="0"/>
              </w:rPr>
              <w:lastRenderedPageBreak/>
              <w:t>6. Workforce development and skills enhancement</w:t>
            </w:r>
          </w:p>
          <w:p w14:paraId="31A2E96D" w14:textId="77777777" w:rsidR="00026246" w:rsidRDefault="00884217">
            <w:pPr>
              <w:spacing w:after="0"/>
            </w:pPr>
            <w:r>
              <w:t>The project would create training opportunities for young professionals and researchers, addressing shortages in nuclear medicine expertise and ensure a pipeline of talent for the future, supporting the long-term growth of the sector.</w:t>
            </w:r>
          </w:p>
          <w:p w14:paraId="31A2E96E" w14:textId="77777777" w:rsidR="00026246" w:rsidRDefault="00884217">
            <w:pPr>
              <w:pStyle w:val="Nadpis3"/>
              <w:numPr>
                <w:ilvl w:val="0"/>
                <w:numId w:val="0"/>
              </w:numPr>
              <w:spacing w:after="0"/>
              <w:rPr>
                <w:bCs/>
              </w:rPr>
            </w:pPr>
            <w:r>
              <w:rPr>
                <w:rStyle w:val="Vrazn"/>
              </w:rPr>
              <w:t>7. Enhancing public perception of nuclear power</w:t>
            </w:r>
          </w:p>
          <w:p w14:paraId="31A2E96F" w14:textId="77777777" w:rsidR="00026246" w:rsidRDefault="00884217">
            <w:r>
              <w:t>The project would demonstrate the societal benefits of nuclear technologies beyond electricity generation and improve public understanding and acceptance of nuclear power, as enabler of healthcare innovation and sustainability, enhancing EU’s leadership in leveraging nuclear technologies for applications with direct societal impact.</w:t>
            </w:r>
          </w:p>
          <w:p w14:paraId="31A2E970" w14:textId="77777777" w:rsidR="00026246" w:rsidRDefault="00884217">
            <w:pPr>
              <w:pStyle w:val="Nadpis2"/>
            </w:pPr>
            <w:r>
              <w:t>How will you ensure SME participation in the IPCEI ecosystem?</w:t>
            </w:r>
          </w:p>
          <w:p w14:paraId="31A2E971" w14:textId="77777777" w:rsidR="00026246" w:rsidRDefault="00884217">
            <w:pPr>
              <w:pStyle w:val="Text2"/>
              <w:ind w:left="171"/>
            </w:pPr>
            <w:r>
              <w:t>The challenge of increasing the industrial capacity in the nuclear sector concerns SME, activating in close connection with the field, such as distributors, clinical trial companies, radioactive transport, medical services, patient care services, marketing, specialized training - all of which will be invited to submit projects by the MS.</w:t>
            </w:r>
          </w:p>
        </w:tc>
      </w:tr>
      <w:tr w:rsidR="00026246" w14:paraId="31A2E974" w14:textId="77777777">
        <w:tc>
          <w:tcPr>
            <w:tcW w:w="8602" w:type="dxa"/>
            <w:tcBorders>
              <w:top w:val="single" w:sz="4" w:space="0" w:color="auto"/>
              <w:left w:val="nil"/>
              <w:bottom w:val="single" w:sz="4" w:space="0" w:color="auto"/>
              <w:right w:val="nil"/>
            </w:tcBorders>
          </w:tcPr>
          <w:p w14:paraId="31A2E973" w14:textId="77777777" w:rsidR="00026246" w:rsidRDefault="00026246">
            <w:pPr>
              <w:rPr>
                <w:i/>
                <w:iCs/>
              </w:rPr>
            </w:pPr>
          </w:p>
        </w:tc>
      </w:tr>
      <w:tr w:rsidR="00026246" w14:paraId="31A2E976" w14:textId="77777777">
        <w:tc>
          <w:tcPr>
            <w:tcW w:w="8602" w:type="dxa"/>
            <w:tcBorders>
              <w:top w:val="single" w:sz="4" w:space="0" w:color="auto"/>
              <w:bottom w:val="single" w:sz="4" w:space="0" w:color="auto"/>
            </w:tcBorders>
            <w:shd w:val="clear" w:color="auto" w:fill="EDEDED" w:themeFill="accent3" w:themeFillTint="33"/>
          </w:tcPr>
          <w:p w14:paraId="31A2E975" w14:textId="77777777" w:rsidR="00026246" w:rsidRDefault="00884217">
            <w:pPr>
              <w:pStyle w:val="Nadpis1"/>
            </w:pPr>
            <w:r>
              <w:t>Next steps</w:t>
            </w:r>
          </w:p>
        </w:tc>
      </w:tr>
      <w:tr w:rsidR="00026246" w14:paraId="31A2E983" w14:textId="77777777">
        <w:tc>
          <w:tcPr>
            <w:tcW w:w="8602" w:type="dxa"/>
            <w:tcBorders>
              <w:top w:val="single" w:sz="4" w:space="0" w:color="auto"/>
            </w:tcBorders>
          </w:tcPr>
          <w:p w14:paraId="31A2E977" w14:textId="77777777" w:rsidR="00026246" w:rsidRDefault="00884217">
            <w:pPr>
              <w:rPr>
                <w:i/>
                <w:iCs/>
              </w:rPr>
            </w:pPr>
            <w:r>
              <w:rPr>
                <w:i/>
                <w:iCs/>
              </w:rPr>
              <w:t xml:space="preserve">The objective of this section is to assess what additional analyses are required for deciding whether to continue working on an IPCEI in the given area. </w:t>
            </w:r>
          </w:p>
          <w:p w14:paraId="31A2E978" w14:textId="77777777" w:rsidR="00026246" w:rsidRDefault="00884217">
            <w:pPr>
              <w:pStyle w:val="Nadpis2"/>
            </w:pPr>
            <w:r>
              <w:t xml:space="preserve">Based on the above, should the given area be further considered in-depth for a potential IPCEI? </w:t>
            </w:r>
          </w:p>
          <w:p w14:paraId="31A2E979" w14:textId="77777777" w:rsidR="00026246" w:rsidRDefault="00884217">
            <w:pPr>
              <w:pStyle w:val="Text2"/>
              <w:ind w:left="24"/>
            </w:pPr>
            <w:r>
              <w:t xml:space="preserve">Yes, the IPCEI framework can create a unique opportunity to facilitate large scale, multi actor engagement, cooperation, research-development and innovation and pre-commercial stages (FID) of developing medical isotopes capacities in the EU, expanding or modernizing existing ones, based on shared know-how and financial resources between interested MS and industrial players. </w:t>
            </w:r>
          </w:p>
          <w:p w14:paraId="31A2E97A" w14:textId="77777777" w:rsidR="00026246" w:rsidRDefault="00884217">
            <w:pPr>
              <w:pStyle w:val="Text2"/>
              <w:ind w:left="24"/>
            </w:pPr>
            <w:r>
              <w:t xml:space="preserve">Boosting medical radioisotopes production in the EU would increase patient access to nuclear medicine, better and timely diagnosis and treatment (“better health”) and a more stable and secure supply chain, with less dependency on external suppliers (“strategic autonomy”) on the entire chain: nuclear fuel, enriched target materials, waste treatment, transport of radioactive sources, radiochemical processing, radiopharmaceutical R&amp;D and clinical trials. </w:t>
            </w:r>
          </w:p>
          <w:p w14:paraId="31A2E97B" w14:textId="77777777" w:rsidR="00026246" w:rsidRDefault="00884217">
            <w:pPr>
              <w:pStyle w:val="Text2"/>
              <w:ind w:left="24"/>
            </w:pPr>
            <w:r>
              <w:t xml:space="preserve">Currently, critical medical radioisotopes are mainly produced in third countries which make supply uncertain. The research reactor facilities in the EU are also tackling the aging problem, which prompts the need to modernize existing capacities and develop new production of medical isotopes to cover the increased and diversified uses in nuclear medicine. Research reactors, large scale nuclear reactors, cyclotrons and other facilities are targeted by the IPCEI with respect to R&amp;D and FID of new technologies deployment. </w:t>
            </w:r>
          </w:p>
          <w:p w14:paraId="31A2E97C" w14:textId="77777777" w:rsidR="00026246" w:rsidRDefault="00884217">
            <w:pPr>
              <w:pStyle w:val="Text2"/>
              <w:ind w:left="24"/>
            </w:pPr>
            <w:r>
              <w:t xml:space="preserve">Upstream production </w:t>
            </w:r>
            <w:r>
              <w:rPr>
                <w:lang w:val="ro-RO"/>
              </w:rPr>
              <w:t>(R&amp;D&amp;I and FID) of medical radioisotopes using new, improved or emerging tehcnologies</w:t>
            </w:r>
            <w:r>
              <w:t xml:space="preserve"> will </w:t>
            </w:r>
            <w:r>
              <w:rPr>
                <w:lang w:val="ro-RO"/>
              </w:rPr>
              <w:t xml:space="preserve">integrate with </w:t>
            </w:r>
            <w:r>
              <w:t xml:space="preserve">the supply chain requirements and fuel cycle value chain, which are common to other IPCEI thematic areas (SMR/fusion). </w:t>
            </w:r>
            <w:r>
              <w:br/>
            </w:r>
            <w:r>
              <w:lastRenderedPageBreak/>
              <w:t>Potential synergies can be created under the objective of security of supply and resilience of the EU nuclear sector (reducing dependencies on imports from Russia).</w:t>
            </w:r>
          </w:p>
          <w:p w14:paraId="31A2E97D" w14:textId="77777777" w:rsidR="00026246" w:rsidRDefault="00884217">
            <w:pPr>
              <w:pStyle w:val="Nadpis2"/>
              <w:numPr>
                <w:ilvl w:val="1"/>
                <w:numId w:val="36"/>
              </w:numPr>
              <w:tabs>
                <w:tab w:val="num" w:pos="360"/>
                <w:tab w:val="left" w:pos="720"/>
              </w:tabs>
              <w:ind w:left="1077" w:hanging="595"/>
            </w:pPr>
            <w:r>
              <w:t xml:space="preserve">What additional analyses/information would be needed to refine the assessment? </w:t>
            </w:r>
          </w:p>
          <w:p w14:paraId="31A2E97E" w14:textId="77777777" w:rsidR="00026246" w:rsidRDefault="00884217">
            <w:pPr>
              <w:pStyle w:val="Text2"/>
              <w:numPr>
                <w:ilvl w:val="0"/>
                <w:numId w:val="37"/>
              </w:numPr>
              <w:spacing w:after="0"/>
            </w:pPr>
            <w:r>
              <w:t>economic forecast regarding market demand, job creation, and return on investment</w:t>
            </w:r>
          </w:p>
          <w:p w14:paraId="31A2E97F" w14:textId="77777777" w:rsidR="00026246" w:rsidRDefault="00884217">
            <w:pPr>
              <w:pStyle w:val="Text2"/>
              <w:numPr>
                <w:ilvl w:val="0"/>
                <w:numId w:val="37"/>
              </w:numPr>
              <w:spacing w:after="0"/>
            </w:pPr>
            <w:r>
              <w:t>analysis of existing funding possibilities and gaps in the market</w:t>
            </w:r>
          </w:p>
          <w:p w14:paraId="31A2E980" w14:textId="77777777" w:rsidR="00026246" w:rsidRDefault="00884217">
            <w:pPr>
              <w:pStyle w:val="Text2"/>
              <w:numPr>
                <w:ilvl w:val="0"/>
                <w:numId w:val="37"/>
              </w:numPr>
              <w:spacing w:after="0"/>
            </w:pPr>
            <w:r>
              <w:t>analysis of different new technologies and their market potential and challenges – depending on the interests of MS wishing to participate in the project and accelerate to market different technologies.</w:t>
            </w:r>
          </w:p>
          <w:p w14:paraId="31A2E981" w14:textId="77777777" w:rsidR="00026246" w:rsidRDefault="00026246">
            <w:pPr>
              <w:pStyle w:val="Text2"/>
              <w:ind w:left="0"/>
            </w:pPr>
          </w:p>
          <w:p w14:paraId="31A2E982" w14:textId="77777777" w:rsidR="00026246" w:rsidRDefault="00026246">
            <w:pPr>
              <w:pStyle w:val="Text2"/>
              <w:spacing w:after="0"/>
              <w:ind w:left="0"/>
            </w:pPr>
          </w:p>
        </w:tc>
      </w:tr>
    </w:tbl>
    <w:p w14:paraId="31A2E984" w14:textId="77777777" w:rsidR="00026246" w:rsidRDefault="00026246">
      <w:pPr>
        <w:pStyle w:val="NoteHead"/>
      </w:pPr>
    </w:p>
    <w:p w14:paraId="31A2E985" w14:textId="77777777" w:rsidR="00026246" w:rsidRDefault="00884217">
      <w:pPr>
        <w:spacing w:after="0"/>
        <w:jc w:val="left"/>
        <w:rPr>
          <w:b/>
          <w:smallCaps/>
        </w:rPr>
      </w:pPr>
      <w:r>
        <w:br w:type="page"/>
      </w:r>
    </w:p>
    <w:p w14:paraId="31A2E986" w14:textId="77777777" w:rsidR="00026246" w:rsidRDefault="00884217">
      <w:pPr>
        <w:pStyle w:val="Nadpis1"/>
        <w:numPr>
          <w:ilvl w:val="0"/>
          <w:numId w:val="0"/>
        </w:numPr>
        <w:ind w:left="482" w:hanging="482"/>
        <w:jc w:val="center"/>
        <w:rPr>
          <w:lang w:val="en-IE"/>
        </w:rPr>
      </w:pPr>
      <w:r>
        <w:rPr>
          <w:lang w:val="en-IE"/>
        </w:rPr>
        <w:lastRenderedPageBreak/>
        <w:t>Annex: link with IPCEI Communication eligibility criteria</w:t>
      </w:r>
    </w:p>
    <w:p w14:paraId="31A2E987" w14:textId="77777777" w:rsidR="00026246" w:rsidRDefault="00026246">
      <w:pPr>
        <w:pStyle w:val="Text1"/>
        <w:rPr>
          <w:lang w:val="en-IE"/>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1"/>
        <w:gridCol w:w="284"/>
        <w:gridCol w:w="4357"/>
      </w:tblGrid>
      <w:tr w:rsidR="00026246" w14:paraId="31A2E98B" w14:textId="77777777">
        <w:tc>
          <w:tcPr>
            <w:tcW w:w="3961" w:type="dxa"/>
            <w:tcBorders>
              <w:bottom w:val="single" w:sz="4" w:space="0" w:color="auto"/>
            </w:tcBorders>
          </w:tcPr>
          <w:p w14:paraId="31A2E988" w14:textId="77777777" w:rsidR="00026246" w:rsidRDefault="00884217">
            <w:pPr>
              <w:rPr>
                <w:b/>
                <w:bCs/>
              </w:rPr>
            </w:pPr>
            <w:r>
              <w:rPr>
                <w:b/>
                <w:bCs/>
              </w:rPr>
              <w:t xml:space="preserve">Eligibility Criteria for IPCEI </w:t>
            </w:r>
          </w:p>
        </w:tc>
        <w:tc>
          <w:tcPr>
            <w:tcW w:w="284" w:type="dxa"/>
            <w:tcBorders>
              <w:bottom w:val="single" w:sz="4" w:space="0" w:color="auto"/>
            </w:tcBorders>
          </w:tcPr>
          <w:p w14:paraId="31A2E989" w14:textId="77777777" w:rsidR="00026246" w:rsidRDefault="00026246">
            <w:pPr>
              <w:rPr>
                <w:b/>
                <w:bCs/>
              </w:rPr>
            </w:pPr>
          </w:p>
        </w:tc>
        <w:tc>
          <w:tcPr>
            <w:tcW w:w="4357" w:type="dxa"/>
            <w:tcBorders>
              <w:bottom w:val="single" w:sz="4" w:space="0" w:color="auto"/>
            </w:tcBorders>
          </w:tcPr>
          <w:p w14:paraId="31A2E98A" w14:textId="77777777" w:rsidR="00026246" w:rsidRDefault="00884217">
            <w:pPr>
              <w:rPr>
                <w:b/>
                <w:bCs/>
              </w:rPr>
            </w:pPr>
            <w:r>
              <w:rPr>
                <w:b/>
                <w:bCs/>
              </w:rPr>
              <w:t>Assessment in fiche</w:t>
            </w:r>
          </w:p>
        </w:tc>
      </w:tr>
      <w:tr w:rsidR="00026246" w14:paraId="31A2E98F" w14:textId="77777777">
        <w:tc>
          <w:tcPr>
            <w:tcW w:w="3961" w:type="dxa"/>
            <w:tcBorders>
              <w:top w:val="single" w:sz="4" w:space="0" w:color="auto"/>
            </w:tcBorders>
            <w:shd w:val="clear" w:color="auto" w:fill="EDEDED" w:themeFill="accent3" w:themeFillTint="33"/>
          </w:tcPr>
          <w:p w14:paraId="31A2E98C" w14:textId="77777777" w:rsidR="00026246" w:rsidRDefault="00884217">
            <w:r>
              <w:t xml:space="preserve">3.1. Definition </w:t>
            </w:r>
          </w:p>
        </w:tc>
        <w:tc>
          <w:tcPr>
            <w:tcW w:w="284" w:type="dxa"/>
            <w:tcBorders>
              <w:top w:val="single" w:sz="4" w:space="0" w:color="auto"/>
            </w:tcBorders>
            <w:shd w:val="clear" w:color="auto" w:fill="EDEDED" w:themeFill="accent3" w:themeFillTint="33"/>
          </w:tcPr>
          <w:p w14:paraId="31A2E98D" w14:textId="77777777" w:rsidR="00026246" w:rsidRDefault="00026246"/>
        </w:tc>
        <w:tc>
          <w:tcPr>
            <w:tcW w:w="4357" w:type="dxa"/>
            <w:tcBorders>
              <w:top w:val="single" w:sz="4" w:space="0" w:color="auto"/>
            </w:tcBorders>
            <w:shd w:val="clear" w:color="auto" w:fill="EDEDED" w:themeFill="accent3" w:themeFillTint="33"/>
          </w:tcPr>
          <w:p w14:paraId="31A2E98E" w14:textId="77777777" w:rsidR="00026246" w:rsidRDefault="00026246"/>
        </w:tc>
      </w:tr>
      <w:tr w:rsidR="00026246" w14:paraId="31A2E993" w14:textId="77777777">
        <w:tc>
          <w:tcPr>
            <w:tcW w:w="3961" w:type="dxa"/>
          </w:tcPr>
          <w:p w14:paraId="31A2E990" w14:textId="77777777" w:rsidR="00026246" w:rsidRDefault="00884217">
            <w:r>
              <w:t>Integrated project (§13)</w:t>
            </w:r>
          </w:p>
        </w:tc>
        <w:tc>
          <w:tcPr>
            <w:tcW w:w="284" w:type="dxa"/>
          </w:tcPr>
          <w:p w14:paraId="31A2E991" w14:textId="77777777" w:rsidR="00026246" w:rsidRDefault="00026246"/>
        </w:tc>
        <w:tc>
          <w:tcPr>
            <w:tcW w:w="4357" w:type="dxa"/>
          </w:tcPr>
          <w:p w14:paraId="31A2E992" w14:textId="77777777" w:rsidR="00026246" w:rsidRDefault="00884217">
            <w:r>
              <w:rPr>
                <w:i/>
                <w:iCs/>
              </w:rPr>
              <w:t xml:space="preserve">To be assessed later in design phase but some elements could be included in </w:t>
            </w:r>
            <w:r>
              <w:t xml:space="preserve">4. Market dimension </w:t>
            </w:r>
            <w:r>
              <w:rPr>
                <w:i/>
                <w:iCs/>
              </w:rPr>
              <w:t xml:space="preserve">section </w:t>
            </w:r>
            <w:r>
              <w:t>(question 4.1)</w:t>
            </w:r>
          </w:p>
        </w:tc>
      </w:tr>
      <w:tr w:rsidR="00026246" w14:paraId="31A2E997" w14:textId="77777777">
        <w:tc>
          <w:tcPr>
            <w:tcW w:w="3961" w:type="dxa"/>
            <w:shd w:val="clear" w:color="auto" w:fill="EDEDED" w:themeFill="accent3" w:themeFillTint="33"/>
          </w:tcPr>
          <w:p w14:paraId="31A2E994" w14:textId="77777777" w:rsidR="00026246" w:rsidRDefault="00884217">
            <w:r>
              <w:t>3.2 Common European Interest</w:t>
            </w:r>
          </w:p>
        </w:tc>
        <w:tc>
          <w:tcPr>
            <w:tcW w:w="284" w:type="dxa"/>
            <w:shd w:val="clear" w:color="auto" w:fill="EDEDED" w:themeFill="accent3" w:themeFillTint="33"/>
          </w:tcPr>
          <w:p w14:paraId="31A2E995" w14:textId="77777777" w:rsidR="00026246" w:rsidRDefault="00026246"/>
        </w:tc>
        <w:tc>
          <w:tcPr>
            <w:tcW w:w="4357" w:type="dxa"/>
            <w:shd w:val="clear" w:color="auto" w:fill="EDEDED" w:themeFill="accent3" w:themeFillTint="33"/>
          </w:tcPr>
          <w:p w14:paraId="31A2E996" w14:textId="77777777" w:rsidR="00026246" w:rsidRDefault="00026246"/>
        </w:tc>
      </w:tr>
      <w:tr w:rsidR="00026246" w14:paraId="31A2E99B" w14:textId="77777777">
        <w:tc>
          <w:tcPr>
            <w:tcW w:w="3961" w:type="dxa"/>
          </w:tcPr>
          <w:p w14:paraId="31A2E998" w14:textId="77777777" w:rsidR="00026246" w:rsidRDefault="00884217">
            <w:r>
              <w:t>Contribution to EU objectives and strategies (§14)</w:t>
            </w:r>
          </w:p>
        </w:tc>
        <w:tc>
          <w:tcPr>
            <w:tcW w:w="284" w:type="dxa"/>
          </w:tcPr>
          <w:p w14:paraId="31A2E999" w14:textId="77777777" w:rsidR="00026246" w:rsidRDefault="00026246"/>
        </w:tc>
        <w:tc>
          <w:tcPr>
            <w:tcW w:w="4357" w:type="dxa"/>
          </w:tcPr>
          <w:p w14:paraId="31A2E99A" w14:textId="77777777" w:rsidR="00026246" w:rsidRDefault="00884217">
            <w:r>
              <w:t>Section 2. Political and industrial strategy objectives (question 2.2)</w:t>
            </w:r>
          </w:p>
        </w:tc>
      </w:tr>
      <w:tr w:rsidR="00026246" w14:paraId="31A2E99F" w14:textId="77777777">
        <w:tc>
          <w:tcPr>
            <w:tcW w:w="3961" w:type="dxa"/>
          </w:tcPr>
          <w:p w14:paraId="31A2E99C" w14:textId="77777777" w:rsidR="00026246" w:rsidRDefault="00884217">
            <w:r>
              <w:t>Overcoming important systemic or market failures, or societal challenges (§15)</w:t>
            </w:r>
          </w:p>
        </w:tc>
        <w:tc>
          <w:tcPr>
            <w:tcW w:w="284" w:type="dxa"/>
          </w:tcPr>
          <w:p w14:paraId="31A2E99D" w14:textId="77777777" w:rsidR="00026246" w:rsidRDefault="00026246"/>
        </w:tc>
        <w:tc>
          <w:tcPr>
            <w:tcW w:w="4357" w:type="dxa"/>
          </w:tcPr>
          <w:p w14:paraId="31A2E99E" w14:textId="77777777" w:rsidR="00026246" w:rsidRDefault="00884217">
            <w:r>
              <w:t>Section 2. Political and industrial policy objectives (question 4.1)</w:t>
            </w:r>
          </w:p>
        </w:tc>
      </w:tr>
      <w:tr w:rsidR="00026246" w14:paraId="31A2E9A3" w14:textId="77777777">
        <w:tc>
          <w:tcPr>
            <w:tcW w:w="3961" w:type="dxa"/>
          </w:tcPr>
          <w:p w14:paraId="31A2E9A0" w14:textId="77777777" w:rsidR="00026246" w:rsidRDefault="00884217">
            <w:r>
              <w:t>Minimum 4 Member States (§16)</w:t>
            </w:r>
          </w:p>
        </w:tc>
        <w:tc>
          <w:tcPr>
            <w:tcW w:w="284" w:type="dxa"/>
          </w:tcPr>
          <w:p w14:paraId="31A2E9A1" w14:textId="77777777" w:rsidR="00026246" w:rsidRDefault="00026246"/>
        </w:tc>
        <w:tc>
          <w:tcPr>
            <w:tcW w:w="4357" w:type="dxa"/>
          </w:tcPr>
          <w:p w14:paraId="31A2E9A2" w14:textId="77777777" w:rsidR="00026246" w:rsidRDefault="00884217">
            <w:pPr>
              <w:rPr>
                <w:i/>
                <w:iCs/>
              </w:rPr>
            </w:pPr>
            <w:r>
              <w:rPr>
                <w:i/>
                <w:iCs/>
              </w:rPr>
              <w:t xml:space="preserve">To be assessed later in design phase but some elements could be included in </w:t>
            </w:r>
            <w:r>
              <w:t xml:space="preserve">4. Market dimension </w:t>
            </w:r>
            <w:r>
              <w:rPr>
                <w:i/>
                <w:iCs/>
              </w:rPr>
              <w:t xml:space="preserve">section </w:t>
            </w:r>
            <w:r>
              <w:t>(question 4.1)</w:t>
            </w:r>
          </w:p>
        </w:tc>
      </w:tr>
      <w:tr w:rsidR="00026246" w14:paraId="31A2E9A7" w14:textId="77777777">
        <w:tc>
          <w:tcPr>
            <w:tcW w:w="3961" w:type="dxa"/>
          </w:tcPr>
          <w:p w14:paraId="31A2E9A4" w14:textId="77777777" w:rsidR="00026246" w:rsidRDefault="00884217">
            <w:r>
              <w:t>Spill-overs to economy and society (§18)</w:t>
            </w:r>
          </w:p>
        </w:tc>
        <w:tc>
          <w:tcPr>
            <w:tcW w:w="284" w:type="dxa"/>
          </w:tcPr>
          <w:p w14:paraId="31A2E9A5" w14:textId="77777777" w:rsidR="00026246" w:rsidRDefault="00026246"/>
        </w:tc>
        <w:tc>
          <w:tcPr>
            <w:tcW w:w="4357" w:type="dxa"/>
          </w:tcPr>
          <w:p w14:paraId="31A2E9A6" w14:textId="77777777" w:rsidR="00026246" w:rsidRDefault="00884217">
            <w:r>
              <w:t xml:space="preserve">Section 3. EU dimension (question 3.2) </w:t>
            </w:r>
          </w:p>
        </w:tc>
      </w:tr>
      <w:tr w:rsidR="00026246" w14:paraId="31A2E9AB" w14:textId="77777777">
        <w:tc>
          <w:tcPr>
            <w:tcW w:w="3961" w:type="dxa"/>
          </w:tcPr>
          <w:p w14:paraId="31A2E9A8" w14:textId="77777777" w:rsidR="00026246" w:rsidRDefault="00884217">
            <w:r>
              <w:t>Co-financing by the beneficiaries (§19)</w:t>
            </w:r>
          </w:p>
        </w:tc>
        <w:tc>
          <w:tcPr>
            <w:tcW w:w="284" w:type="dxa"/>
          </w:tcPr>
          <w:p w14:paraId="31A2E9A9" w14:textId="77777777" w:rsidR="00026246" w:rsidRDefault="00026246"/>
        </w:tc>
        <w:tc>
          <w:tcPr>
            <w:tcW w:w="4357" w:type="dxa"/>
          </w:tcPr>
          <w:p w14:paraId="31A2E9AA" w14:textId="77777777" w:rsidR="00026246" w:rsidRDefault="00884217">
            <w:r>
              <w:rPr>
                <w:i/>
                <w:iCs/>
              </w:rPr>
              <w:t xml:space="preserve">To be assessed later in design phase but some elements could be included in </w:t>
            </w:r>
            <w:r>
              <w:t xml:space="preserve">4. Market dimension </w:t>
            </w:r>
            <w:r>
              <w:rPr>
                <w:i/>
                <w:iCs/>
              </w:rPr>
              <w:t xml:space="preserve">section </w:t>
            </w:r>
            <w:r>
              <w:t>(question 4.1)</w:t>
            </w:r>
          </w:p>
        </w:tc>
      </w:tr>
      <w:tr w:rsidR="00026246" w14:paraId="31A2E9AF" w14:textId="77777777">
        <w:tc>
          <w:tcPr>
            <w:tcW w:w="3961" w:type="dxa"/>
          </w:tcPr>
          <w:p w14:paraId="31A2E9AC" w14:textId="77777777" w:rsidR="00026246" w:rsidRDefault="00884217">
            <w:r>
              <w:t>Compatibility with DNSH (Is there an EU value chain to mobilise? (§20</w:t>
            </w:r>
            <w:r>
              <w:rPr>
                <w:i/>
                <w:iCs/>
              </w:rPr>
              <w:t>)</w:t>
            </w:r>
          </w:p>
        </w:tc>
        <w:tc>
          <w:tcPr>
            <w:tcW w:w="284" w:type="dxa"/>
          </w:tcPr>
          <w:p w14:paraId="31A2E9AD" w14:textId="77777777" w:rsidR="00026246" w:rsidRDefault="00026246">
            <w:pPr>
              <w:rPr>
                <w:i/>
                <w:iCs/>
              </w:rPr>
            </w:pPr>
          </w:p>
        </w:tc>
        <w:tc>
          <w:tcPr>
            <w:tcW w:w="4357" w:type="dxa"/>
          </w:tcPr>
          <w:p w14:paraId="31A2E9AE" w14:textId="77777777" w:rsidR="00026246" w:rsidRDefault="00884217">
            <w:pPr>
              <w:rPr>
                <w:i/>
                <w:iCs/>
              </w:rPr>
            </w:pPr>
            <w:r>
              <w:rPr>
                <w:i/>
                <w:iCs/>
              </w:rPr>
              <w:t>To be assessed in design phase</w:t>
            </w:r>
          </w:p>
        </w:tc>
      </w:tr>
      <w:tr w:rsidR="00026246" w14:paraId="31A2E9B3" w14:textId="77777777">
        <w:tc>
          <w:tcPr>
            <w:tcW w:w="3961" w:type="dxa"/>
          </w:tcPr>
          <w:p w14:paraId="31A2E9B0" w14:textId="77777777" w:rsidR="00026246" w:rsidRDefault="00884217">
            <w:r>
              <w:t>Addressing a clearly identified and significant strategic dependency (§21)</w:t>
            </w:r>
          </w:p>
        </w:tc>
        <w:tc>
          <w:tcPr>
            <w:tcW w:w="284" w:type="dxa"/>
          </w:tcPr>
          <w:p w14:paraId="31A2E9B1" w14:textId="77777777" w:rsidR="00026246" w:rsidRDefault="00026246">
            <w:pPr>
              <w:rPr>
                <w:i/>
                <w:iCs/>
              </w:rPr>
            </w:pPr>
          </w:p>
        </w:tc>
        <w:tc>
          <w:tcPr>
            <w:tcW w:w="4357" w:type="dxa"/>
          </w:tcPr>
          <w:p w14:paraId="31A2E9B2" w14:textId="77777777" w:rsidR="00026246" w:rsidRDefault="00884217">
            <w:r>
              <w:t>Section 3 EU dimension (question 3.3)</w:t>
            </w:r>
          </w:p>
        </w:tc>
      </w:tr>
      <w:tr w:rsidR="00026246" w14:paraId="31A2E9B7" w14:textId="77777777">
        <w:tc>
          <w:tcPr>
            <w:tcW w:w="3961" w:type="dxa"/>
          </w:tcPr>
          <w:p w14:paraId="31A2E9B4" w14:textId="77777777" w:rsidR="00026246" w:rsidRDefault="00884217">
            <w:r>
              <w:t>Major innovative nature, in the light of the state of the art in the sector (§22)</w:t>
            </w:r>
          </w:p>
        </w:tc>
        <w:tc>
          <w:tcPr>
            <w:tcW w:w="284" w:type="dxa"/>
          </w:tcPr>
          <w:p w14:paraId="31A2E9B5" w14:textId="77777777" w:rsidR="00026246" w:rsidRDefault="00026246"/>
        </w:tc>
        <w:tc>
          <w:tcPr>
            <w:tcW w:w="4357" w:type="dxa"/>
          </w:tcPr>
          <w:p w14:paraId="31A2E9B6" w14:textId="77777777" w:rsidR="00026246" w:rsidRDefault="00884217">
            <w:r>
              <w:t>Section 2. Political and industrial policy objectives (question 2.3)</w:t>
            </w:r>
          </w:p>
        </w:tc>
      </w:tr>
      <w:tr w:rsidR="00026246" w14:paraId="31A2E9BB" w14:textId="77777777">
        <w:tc>
          <w:tcPr>
            <w:tcW w:w="3961" w:type="dxa"/>
          </w:tcPr>
          <w:p w14:paraId="31A2E9B8" w14:textId="77777777" w:rsidR="00026246" w:rsidRDefault="00884217">
            <w:r>
              <w:t>First industrial deployment (§23-24)</w:t>
            </w:r>
          </w:p>
        </w:tc>
        <w:tc>
          <w:tcPr>
            <w:tcW w:w="284" w:type="dxa"/>
          </w:tcPr>
          <w:p w14:paraId="31A2E9B9" w14:textId="77777777" w:rsidR="00026246" w:rsidRDefault="00026246"/>
        </w:tc>
        <w:tc>
          <w:tcPr>
            <w:tcW w:w="4357" w:type="dxa"/>
          </w:tcPr>
          <w:p w14:paraId="31A2E9BA" w14:textId="77777777" w:rsidR="00026246" w:rsidRDefault="00884217">
            <w:r>
              <w:t>Section 2. Political and industrial policy objectives (question 2.3)</w:t>
            </w:r>
          </w:p>
        </w:tc>
      </w:tr>
      <w:tr w:rsidR="00026246" w14:paraId="31A2E9BF" w14:textId="77777777">
        <w:tc>
          <w:tcPr>
            <w:tcW w:w="3961" w:type="dxa"/>
            <w:shd w:val="clear" w:color="auto" w:fill="EDEDED" w:themeFill="accent3" w:themeFillTint="33"/>
          </w:tcPr>
          <w:p w14:paraId="31A2E9BC" w14:textId="77777777" w:rsidR="00026246" w:rsidRDefault="00884217">
            <w:r>
              <w:t>3.3 Importance of the project</w:t>
            </w:r>
          </w:p>
        </w:tc>
        <w:tc>
          <w:tcPr>
            <w:tcW w:w="284" w:type="dxa"/>
            <w:shd w:val="clear" w:color="auto" w:fill="EDEDED" w:themeFill="accent3" w:themeFillTint="33"/>
          </w:tcPr>
          <w:p w14:paraId="31A2E9BD" w14:textId="77777777" w:rsidR="00026246" w:rsidRDefault="00026246"/>
        </w:tc>
        <w:tc>
          <w:tcPr>
            <w:tcW w:w="4357" w:type="dxa"/>
            <w:shd w:val="clear" w:color="auto" w:fill="EDEDED" w:themeFill="accent3" w:themeFillTint="33"/>
          </w:tcPr>
          <w:p w14:paraId="31A2E9BE" w14:textId="77777777" w:rsidR="00026246" w:rsidRDefault="00026246"/>
        </w:tc>
      </w:tr>
      <w:tr w:rsidR="00026246" w14:paraId="31A2E9C3" w14:textId="77777777">
        <w:tc>
          <w:tcPr>
            <w:tcW w:w="3961" w:type="dxa"/>
          </w:tcPr>
          <w:p w14:paraId="31A2E9C0" w14:textId="77777777" w:rsidR="00026246" w:rsidRDefault="00884217">
            <w:r>
              <w:t>Importance of the project (§26)</w:t>
            </w:r>
          </w:p>
        </w:tc>
        <w:tc>
          <w:tcPr>
            <w:tcW w:w="284" w:type="dxa"/>
          </w:tcPr>
          <w:p w14:paraId="31A2E9C1" w14:textId="77777777" w:rsidR="00026246" w:rsidRDefault="00026246"/>
        </w:tc>
        <w:tc>
          <w:tcPr>
            <w:tcW w:w="4357" w:type="dxa"/>
          </w:tcPr>
          <w:p w14:paraId="31A2E9C2" w14:textId="77777777" w:rsidR="00026246" w:rsidRDefault="00884217">
            <w:r>
              <w:t>Section 2. Political and industrial policy objectives (question 2.1)</w:t>
            </w:r>
          </w:p>
        </w:tc>
      </w:tr>
      <w:tr w:rsidR="00026246" w14:paraId="31A2E9C7" w14:textId="77777777">
        <w:tc>
          <w:tcPr>
            <w:tcW w:w="3961" w:type="dxa"/>
          </w:tcPr>
          <w:p w14:paraId="31A2E9C4" w14:textId="77777777" w:rsidR="00026246" w:rsidRDefault="00026246"/>
        </w:tc>
        <w:tc>
          <w:tcPr>
            <w:tcW w:w="284" w:type="dxa"/>
          </w:tcPr>
          <w:p w14:paraId="31A2E9C5" w14:textId="77777777" w:rsidR="00026246" w:rsidRDefault="00026246"/>
        </w:tc>
        <w:tc>
          <w:tcPr>
            <w:tcW w:w="4357" w:type="dxa"/>
          </w:tcPr>
          <w:p w14:paraId="31A2E9C6" w14:textId="77777777" w:rsidR="00026246" w:rsidRDefault="00026246"/>
        </w:tc>
      </w:tr>
      <w:tr w:rsidR="00026246" w14:paraId="31A2E9CB" w14:textId="77777777">
        <w:tc>
          <w:tcPr>
            <w:tcW w:w="3961" w:type="dxa"/>
          </w:tcPr>
          <w:p w14:paraId="31A2E9C8" w14:textId="77777777" w:rsidR="00026246" w:rsidRDefault="00026246"/>
        </w:tc>
        <w:tc>
          <w:tcPr>
            <w:tcW w:w="284" w:type="dxa"/>
          </w:tcPr>
          <w:p w14:paraId="31A2E9C9" w14:textId="77777777" w:rsidR="00026246" w:rsidRDefault="00026246"/>
        </w:tc>
        <w:tc>
          <w:tcPr>
            <w:tcW w:w="4357" w:type="dxa"/>
          </w:tcPr>
          <w:p w14:paraId="31A2E9CA" w14:textId="77777777" w:rsidR="00026246" w:rsidRDefault="00026246"/>
        </w:tc>
      </w:tr>
    </w:tbl>
    <w:p w14:paraId="31A2E9CC" w14:textId="77777777" w:rsidR="00026246" w:rsidRDefault="00026246"/>
    <w:sectPr w:rsidR="00026246">
      <w:headerReference w:type="even" r:id="rId18"/>
      <w:headerReference w:type="default" r:id="rId19"/>
      <w:footerReference w:type="even" r:id="rId20"/>
      <w:footerReference w:type="default" r:id="rId21"/>
      <w:footerReference w:type="first" r:id="rId22"/>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B1293" w14:textId="77777777" w:rsidR="00D57CF6" w:rsidRDefault="00D57CF6">
      <w:pPr>
        <w:spacing w:after="0"/>
      </w:pPr>
      <w:r>
        <w:separator/>
      </w:r>
    </w:p>
  </w:endnote>
  <w:endnote w:type="continuationSeparator" w:id="0">
    <w:p w14:paraId="51CDC422" w14:textId="77777777" w:rsidR="00D57CF6" w:rsidRDefault="00D57CF6">
      <w:pPr>
        <w:spacing w:after="0"/>
      </w:pPr>
      <w:r>
        <w:continuationSeparator/>
      </w:r>
    </w:p>
  </w:endnote>
  <w:endnote w:type="continuationNotice" w:id="1">
    <w:p w14:paraId="7E151173" w14:textId="77777777" w:rsidR="00D57CF6" w:rsidRDefault="00D57CF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charset w:val="00"/>
    <w:family w:val="roman"/>
    <w:pitch w:val="variable"/>
  </w:font>
  <w:font w:name="Verdana">
    <w:panose1 w:val="020B0604030504040204"/>
    <w:charset w:val="EE"/>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2E9D7" w14:textId="77777777" w:rsidR="00026246" w:rsidRDefault="00884217">
    <w:pPr>
      <w:pStyle w:val="FooterLine"/>
      <w:jc w:val="center"/>
    </w:pPr>
    <w:r>
      <w:fldChar w:fldCharType="begin"/>
    </w:r>
    <w:r>
      <w:instrText>PAGE   \* MERGEFORMAT</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2E9D8" w14:textId="77777777" w:rsidR="00026246" w:rsidRDefault="00884217">
    <w:pPr>
      <w:pStyle w:val="FooterLine"/>
      <w:jc w:val="center"/>
    </w:pPr>
    <w:r>
      <w:fldChar w:fldCharType="begin"/>
    </w:r>
    <w:r>
      <w:instrText>PAGE   \* MERGEFORMAT</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2E9DA" w14:textId="77777777" w:rsidR="00026246" w:rsidRDefault="00000000">
    <w:pPr>
      <w:pStyle w:val="Pta"/>
    </w:pPr>
    <w:sdt>
      <w:sdtPr>
        <w:alias w:val="Email Addresses - Standard"/>
        <w:tag w:val="lzJg88SOkI751vM69s8xi7-MjGgt6e7BqMZJMWY5fWzc6"/>
        <w:id w:val="1163820549"/>
        <w:dataBinding w:xpath="/Author/Email" w:storeItemID="{00000000-0000-0000-0000-000000000000}"/>
        <w:text w:multiLine="1"/>
      </w:sdtPr>
      <w:sdtContent>
        <w:r w:rsidR="00884217">
          <w:t>Guillaume.ROTY@ec.europa.eu</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5467E" w14:textId="77777777" w:rsidR="00D57CF6" w:rsidRDefault="00D57CF6">
      <w:pPr>
        <w:spacing w:after="0"/>
      </w:pPr>
      <w:r>
        <w:separator/>
      </w:r>
    </w:p>
  </w:footnote>
  <w:footnote w:type="continuationSeparator" w:id="0">
    <w:p w14:paraId="68556945" w14:textId="77777777" w:rsidR="00D57CF6" w:rsidRDefault="00D57CF6">
      <w:pPr>
        <w:spacing w:after="0"/>
      </w:pPr>
      <w:r>
        <w:continuationSeparator/>
      </w:r>
    </w:p>
  </w:footnote>
  <w:footnote w:type="continuationNotice" w:id="1">
    <w:p w14:paraId="3A2733B4" w14:textId="77777777" w:rsidR="00D57CF6" w:rsidRDefault="00D57CF6">
      <w:pPr>
        <w:spacing w:after="0"/>
      </w:pPr>
    </w:p>
  </w:footnote>
  <w:footnote w:id="2">
    <w:p w14:paraId="31A2E9E1" w14:textId="77777777" w:rsidR="00026246" w:rsidRDefault="00884217">
      <w:pPr>
        <w:pStyle w:val="Textpoznmkypodiarou"/>
        <w:rPr>
          <w:lang w:val="en-US"/>
        </w:rPr>
      </w:pPr>
      <w:r>
        <w:rPr>
          <w:rStyle w:val="Odkaznapoznmkupodiarou"/>
        </w:rPr>
        <w:footnoteRef/>
      </w:r>
      <w:r>
        <w:t xml:space="preserve"> Additional projects which would qualify as infrastructure projects according to the Commission terminology could be considered in the Design phase, provided they can contribute to the roadmap of the IPCEI.</w:t>
      </w:r>
    </w:p>
  </w:footnote>
  <w:footnote w:id="3">
    <w:p w14:paraId="31A2E9E2" w14:textId="77777777" w:rsidR="00026246" w:rsidRDefault="00884217">
      <w:pPr>
        <w:pStyle w:val="Textpoznmkypodiarou"/>
        <w:rPr>
          <w:lang w:val="ro-RO"/>
        </w:rPr>
      </w:pPr>
      <w:r>
        <w:rPr>
          <w:rStyle w:val="Odkaznapoznmkupodiarou"/>
        </w:rPr>
        <w:footnoteRef/>
      </w:r>
      <w:r>
        <w:t xml:space="preserve"> </w:t>
      </w:r>
      <w:hyperlink r:id="rId1" w:history="1">
        <w:r>
          <w:rPr>
            <w:rStyle w:val="Hypertextovprepojenie"/>
          </w:rPr>
          <w:t>https://op.europa.eu/en/publication-detail/-/publication/4599de47-3ac6-11ec-89db-01aa75ed71a1/language-en</w:t>
        </w:r>
      </w:hyperlink>
      <w:r>
        <w:t xml:space="preserve"> </w:t>
      </w:r>
    </w:p>
  </w:footnote>
  <w:footnote w:id="4">
    <w:p w14:paraId="31A2E9E3" w14:textId="77777777" w:rsidR="00026246" w:rsidRDefault="00884217">
      <w:pPr>
        <w:pStyle w:val="Textpoznmkypodiarou"/>
        <w:rPr>
          <w:lang w:val="ro-RO"/>
        </w:rPr>
      </w:pPr>
      <w:r>
        <w:rPr>
          <w:rStyle w:val="Odkaznapoznmkupodiarou"/>
        </w:rPr>
        <w:footnoteRef/>
      </w:r>
      <w:r>
        <w:rPr>
          <w:lang w:val="ro-RO"/>
        </w:rPr>
        <w:t xml:space="preserve"> </w:t>
      </w:r>
      <w:hyperlink r:id="rId2" w:history="1">
        <w:r>
          <w:rPr>
            <w:rStyle w:val="Hypertextovprepojenie"/>
            <w:lang w:val="ro-RO"/>
          </w:rPr>
          <w:t>https://www.consilium.europa.eu/en/press/press-releases/2024/06/17/radioisotopes-for-medical-use-council-approves-conclusions/</w:t>
        </w:r>
      </w:hyperlink>
      <w:r>
        <w:rPr>
          <w:lang w:val="ro-RO"/>
        </w:rPr>
        <w:t xml:space="preserve"> </w:t>
      </w:r>
    </w:p>
  </w:footnote>
  <w:footnote w:id="5">
    <w:p w14:paraId="31A2E9E4" w14:textId="77777777" w:rsidR="00026246" w:rsidRDefault="00884217">
      <w:pPr>
        <w:pStyle w:val="Textpoznmkypodiarou"/>
        <w:jc w:val="left"/>
      </w:pPr>
      <w:r>
        <w:rPr>
          <w:rStyle w:val="Odkaznapoznmkupodiarou"/>
        </w:rPr>
        <w:footnoteRef/>
      </w:r>
      <w:r>
        <w:t xml:space="preserve"> Regular upgrades without an innovative dimension of existing facilities and the development of newer versions of existing products do not qualify as first industrial deployment.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2E9D5" w14:textId="77777777" w:rsidR="00026246" w:rsidRDefault="00884217">
    <w:pPr>
      <w:pStyle w:val="Hlavika"/>
    </w:pPr>
    <w:r>
      <w:rPr>
        <w:noProof/>
      </w:rPr>
      <mc:AlternateContent>
        <mc:Choice Requires="wps">
          <w:drawing>
            <wp:anchor distT="0" distB="0" distL="0" distR="0" simplePos="0" relativeHeight="251659264" behindDoc="0" locked="0" layoutInCell="1" allowOverlap="1" wp14:anchorId="31A2E9DB" wp14:editId="31A2E9DC">
              <wp:simplePos x="635" y="635"/>
              <wp:positionH relativeFrom="page">
                <wp:align>center</wp:align>
              </wp:positionH>
              <wp:positionV relativeFrom="page">
                <wp:align>top</wp:align>
              </wp:positionV>
              <wp:extent cx="1927225" cy="345440"/>
              <wp:effectExtent l="0" t="0" r="15875" b="16510"/>
              <wp:wrapNone/>
              <wp:docPr id="1886915585" name="Text Box 2" descr="USAGE OFFICIEL - OFFICIEEL GEBRUIK">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27225" cy="345440"/>
                      </a:xfrm>
                      <a:prstGeom prst="rect">
                        <a:avLst/>
                      </a:prstGeom>
                      <a:noFill/>
                      <a:ln>
                        <a:noFill/>
                      </a:ln>
                    </wps:spPr>
                    <wps:txbx>
                      <w:txbxContent>
                        <w:p w14:paraId="31A2E9E5" w14:textId="77777777" w:rsidR="00026246" w:rsidRDefault="00884217">
                          <w:pPr>
                            <w:spacing w:after="0"/>
                            <w:rPr>
                              <w:rFonts w:ascii="Calibri" w:eastAsia="Calibri" w:hAnsi="Calibri" w:cs="Calibri"/>
                              <w:noProof/>
                              <w:color w:val="000000"/>
                              <w:sz w:val="20"/>
                            </w:rPr>
                          </w:pPr>
                          <w:r>
                            <w:rPr>
                              <w:rFonts w:ascii="Calibri" w:eastAsia="Calibri" w:hAnsi="Calibri" w:cs="Calibri"/>
                              <w:noProof/>
                              <w:color w:val="000000"/>
                              <w:sz w:val="20"/>
                            </w:rPr>
                            <w:t>USAGE OFFICIEL - OFFICIEEL GEBRUIK</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alt="USAGE OFFICIEL - OFFICIEEL GEBRUIK" style="position:absolute;left:0;text-align:left;margin-left:0;margin-top:0;width:151.75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" filled="f" stroked="f">
              <v:textbox style="mso-fit-shape-to-text:t" inset="0,15pt,0,0">
                <w:txbxContent>
                  <w:p w:rsidR="00026246" w:rsidRDefault="00884217">
                    <w:pPr>
                      <w:spacing w:after="0"/>
                      <w:rPr>
                        <w:rFonts w:ascii="Calibri" w:eastAsia="Calibri" w:hAnsi="Calibri" w:cs="Calibri"/>
                        <w:noProof/>
                        <w:color w:val="000000"/>
                        <w:sz w:val="20"/>
                      </w:rPr>
                    </w:pPr>
                    <w:r>
                      <w:rPr>
                        <w:rFonts w:ascii="Calibri" w:eastAsia="Calibri" w:hAnsi="Calibri" w:cs="Calibri"/>
                        <w:noProof/>
                        <w:color w:val="000000"/>
                        <w:sz w:val="20"/>
                      </w:rPr>
                      <w:t>USAGE OFFICIEL - OFFICIEEL GEBRUIK</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2E9D6" w14:textId="77777777" w:rsidR="00026246" w:rsidRDefault="00884217">
    <w:pPr>
      <w:pStyle w:val="Hlavika"/>
    </w:pPr>
    <w:r>
      <w:rPr>
        <w:noProof/>
      </w:rPr>
      <mc:AlternateContent>
        <mc:Choice Requires="wps">
          <w:drawing>
            <wp:anchor distT="0" distB="0" distL="0" distR="0" simplePos="0" relativeHeight="251660288" behindDoc="0" locked="0" layoutInCell="1" allowOverlap="1" wp14:anchorId="31A2E9DD" wp14:editId="31A2E9DE">
              <wp:simplePos x="635" y="635"/>
              <wp:positionH relativeFrom="page">
                <wp:align>center</wp:align>
              </wp:positionH>
              <wp:positionV relativeFrom="page">
                <wp:align>top</wp:align>
              </wp:positionV>
              <wp:extent cx="1927225" cy="345440"/>
              <wp:effectExtent l="0" t="0" r="15875" b="16510"/>
              <wp:wrapNone/>
              <wp:docPr id="1234340439" name="Text Box 3" descr="USAGE OFFICIEL - OFFICIEEL GEBRUIK">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27225" cy="345440"/>
                      </a:xfrm>
                      <a:prstGeom prst="rect">
                        <a:avLst/>
                      </a:prstGeom>
                      <a:noFill/>
                      <a:ln>
                        <a:noFill/>
                      </a:ln>
                    </wps:spPr>
                    <wps:txbx>
                      <w:txbxContent>
                        <w:p w14:paraId="31A2E9E6" w14:textId="77777777" w:rsidR="00026246" w:rsidRDefault="00884217">
                          <w:pPr>
                            <w:spacing w:after="0"/>
                            <w:rPr>
                              <w:rFonts w:ascii="Calibri" w:eastAsia="Calibri" w:hAnsi="Calibri" w:cs="Calibri"/>
                              <w:noProof/>
                              <w:color w:val="000000"/>
                              <w:sz w:val="20"/>
                            </w:rPr>
                          </w:pPr>
                          <w:r>
                            <w:rPr>
                              <w:rFonts w:ascii="Calibri" w:eastAsia="Calibri" w:hAnsi="Calibri" w:cs="Calibri"/>
                              <w:noProof/>
                              <w:color w:val="000000"/>
                              <w:sz w:val="20"/>
                            </w:rPr>
                            <w:t>USAGE OFFICIEL - OFFICIEEL GEBRUIK</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1027" type="#_x0000_t202" alt="USAGE OFFICIEL - OFFICIEEL GEBRUIK" style="position:absolute;left:0;text-align:left;margin-left:0;margin-top:0;width:151.75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" filled="f" stroked="f">
              <v:textbox style="mso-fit-shape-to-text:t" inset="0,15pt,0,0">
                <w:txbxContent>
                  <w:p w:rsidR="00026246" w:rsidRDefault="00884217">
                    <w:pPr>
                      <w:spacing w:after="0"/>
                      <w:rPr>
                        <w:rFonts w:ascii="Calibri" w:eastAsia="Calibri" w:hAnsi="Calibri" w:cs="Calibri"/>
                        <w:noProof/>
                        <w:color w:val="000000"/>
                        <w:sz w:val="20"/>
                      </w:rPr>
                    </w:pPr>
                    <w:r>
                      <w:rPr>
                        <w:rFonts w:ascii="Calibri" w:eastAsia="Calibri" w:hAnsi="Calibri" w:cs="Calibri"/>
                        <w:noProof/>
                        <w:color w:val="000000"/>
                        <w:sz w:val="20"/>
                      </w:rPr>
                      <w:t>USAGE OFFICIEL - OFFICIEEL GEBRUIK</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DE3380"/>
    <w:lvl w:ilvl="0">
      <w:start w:val="1"/>
      <w:numFmt w:val="decimal"/>
      <w:pStyle w:val="slovanzoznam5"/>
      <w:lvlText w:val="%1."/>
      <w:lvlJc w:val="left"/>
      <w:pPr>
        <w:tabs>
          <w:tab w:val="num" w:pos="1492"/>
        </w:tabs>
        <w:ind w:left="1492" w:hanging="360"/>
      </w:pPr>
    </w:lvl>
  </w:abstractNum>
  <w:abstractNum w:abstractNumId="1" w15:restartNumberingAfterBreak="0">
    <w:nsid w:val="FFFFFF80"/>
    <w:multiLevelType w:val="singleLevel"/>
    <w:tmpl w:val="F8F20B20"/>
    <w:lvl w:ilvl="0">
      <w:start w:val="1"/>
      <w:numFmt w:val="bullet"/>
      <w:pStyle w:val="Zoznamsodrkami5"/>
      <w:lvlText w:val=""/>
      <w:lvlJc w:val="left"/>
      <w:pPr>
        <w:tabs>
          <w:tab w:val="num" w:pos="1492"/>
        </w:tabs>
        <w:ind w:left="1492" w:hanging="360"/>
      </w:pPr>
      <w:rPr>
        <w:rFonts w:ascii="Symbol" w:hAnsi="Symbol" w:hint="default"/>
      </w:rPr>
    </w:lvl>
  </w:abstractNum>
  <w:abstractNum w:abstractNumId="2" w15:restartNumberingAfterBreak="0">
    <w:nsid w:val="03672B29"/>
    <w:multiLevelType w:val="hybridMultilevel"/>
    <w:tmpl w:val="14FA30EE"/>
    <w:lvl w:ilvl="0" w:tplc="4A30A400">
      <w:start w:val="1"/>
      <w:numFmt w:val="bullet"/>
      <w:lvlText w:val="‒"/>
      <w:lvlJc w:val="left"/>
      <w:pPr>
        <w:ind w:left="720" w:hanging="360"/>
      </w:pPr>
      <w:rPr>
        <w:rFonts w:ascii="Calibri" w:hAnsi="Calibri" w:hint="default"/>
        <w:b w:val="0"/>
        <w:i w:val="0"/>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2900F7"/>
    <w:multiLevelType w:val="multilevel"/>
    <w:tmpl w:val="63BEF5B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0EFB7115"/>
    <w:multiLevelType w:val="multilevel"/>
    <w:tmpl w:val="8536DEE4"/>
    <w:name w:val="ListNumber3Numbering"/>
    <w:lvl w:ilvl="0">
      <w:start w:val="1"/>
      <w:numFmt w:val="decimal"/>
      <w:pStyle w:val="slovanzoznam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7201"/>
    <w:multiLevelType w:val="multilevel"/>
    <w:tmpl w:val="4FF868D2"/>
    <w:name w:val="ListNumberNumbering"/>
    <w:lvl w:ilvl="0">
      <w:start w:val="1"/>
      <w:numFmt w:val="decimal"/>
      <w:pStyle w:val="slovanzo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0B8345"/>
    <w:multiLevelType w:val="multilevel"/>
    <w:tmpl w:val="A156FCEE"/>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62685D"/>
    <w:multiLevelType w:val="multilevel"/>
    <w:tmpl w:val="E3C0CAA0"/>
    <w:name w:val="ListBullet4Numbering"/>
    <w:lvl w:ilvl="0">
      <w:start w:val="1"/>
      <w:numFmt w:val="bullet"/>
      <w:pStyle w:val="Zoznamsodrkami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3D0A16"/>
    <w:multiLevelType w:val="multilevel"/>
    <w:tmpl w:val="29224A48"/>
    <w:name w:val="ListBullet3Numbering"/>
    <w:lvl w:ilvl="0">
      <w:start w:val="1"/>
      <w:numFmt w:val="bullet"/>
      <w:pStyle w:val="Zoznamsodrkami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49600D7"/>
    <w:multiLevelType w:val="hybridMultilevel"/>
    <w:tmpl w:val="EA70829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172F0AC5"/>
    <w:multiLevelType w:val="multilevel"/>
    <w:tmpl w:val="6D0AB796"/>
    <w:name w:val="ListNumber2Numbering"/>
    <w:lvl w:ilvl="0">
      <w:start w:val="1"/>
      <w:numFmt w:val="decimal"/>
      <w:pStyle w:val="slovanzoznam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8756A57"/>
    <w:multiLevelType w:val="multilevel"/>
    <w:tmpl w:val="91481E54"/>
    <w:lvl w:ilvl="0">
      <w:start w:val="6"/>
      <w:numFmt w:val="decimal"/>
      <w:lvlText w:val="%1."/>
      <w:lvlJc w:val="left"/>
      <w:pPr>
        <w:ind w:left="720" w:hanging="360"/>
      </w:pPr>
      <w:rPr>
        <w:rFonts w:hint="default"/>
      </w:rPr>
    </w:lvl>
    <w:lvl w:ilvl="1">
      <w:start w:val="1"/>
      <w:numFmt w:val="decimal"/>
      <w:isLgl/>
      <w:lvlText w:val="%1.%2."/>
      <w:lvlJc w:val="left"/>
      <w:pPr>
        <w:ind w:left="842" w:hanging="360"/>
      </w:pPr>
      <w:rPr>
        <w:rFonts w:hint="default"/>
      </w:rPr>
    </w:lvl>
    <w:lvl w:ilvl="2">
      <w:start w:val="1"/>
      <w:numFmt w:val="decimal"/>
      <w:isLgl/>
      <w:lvlText w:val="%1.%2.%3."/>
      <w:lvlJc w:val="left"/>
      <w:pPr>
        <w:ind w:left="1324" w:hanging="720"/>
      </w:pPr>
      <w:rPr>
        <w:rFonts w:hint="default"/>
      </w:rPr>
    </w:lvl>
    <w:lvl w:ilvl="3">
      <w:start w:val="1"/>
      <w:numFmt w:val="decimal"/>
      <w:isLgl/>
      <w:lvlText w:val="%1.%2.%3.%4."/>
      <w:lvlJc w:val="left"/>
      <w:pPr>
        <w:ind w:left="1446" w:hanging="720"/>
      </w:pPr>
      <w:rPr>
        <w:rFonts w:hint="default"/>
      </w:rPr>
    </w:lvl>
    <w:lvl w:ilvl="4">
      <w:start w:val="1"/>
      <w:numFmt w:val="decimal"/>
      <w:isLgl/>
      <w:lvlText w:val="%1.%2.%3.%4.%5."/>
      <w:lvlJc w:val="left"/>
      <w:pPr>
        <w:ind w:left="1928" w:hanging="1080"/>
      </w:pPr>
      <w:rPr>
        <w:rFonts w:hint="default"/>
      </w:rPr>
    </w:lvl>
    <w:lvl w:ilvl="5">
      <w:start w:val="1"/>
      <w:numFmt w:val="decimal"/>
      <w:isLgl/>
      <w:lvlText w:val="%1.%2.%3.%4.%5.%6."/>
      <w:lvlJc w:val="left"/>
      <w:pPr>
        <w:ind w:left="2050" w:hanging="1080"/>
      </w:pPr>
      <w:rPr>
        <w:rFonts w:hint="default"/>
      </w:rPr>
    </w:lvl>
    <w:lvl w:ilvl="6">
      <w:start w:val="1"/>
      <w:numFmt w:val="decimal"/>
      <w:isLgl/>
      <w:lvlText w:val="%1.%2.%3.%4.%5.%6.%7."/>
      <w:lvlJc w:val="left"/>
      <w:pPr>
        <w:ind w:left="2532" w:hanging="1440"/>
      </w:pPr>
      <w:rPr>
        <w:rFonts w:hint="default"/>
      </w:rPr>
    </w:lvl>
    <w:lvl w:ilvl="7">
      <w:start w:val="1"/>
      <w:numFmt w:val="decimal"/>
      <w:isLgl/>
      <w:lvlText w:val="%1.%2.%3.%4.%5.%6.%7.%8."/>
      <w:lvlJc w:val="left"/>
      <w:pPr>
        <w:ind w:left="2654" w:hanging="1440"/>
      </w:pPr>
      <w:rPr>
        <w:rFonts w:hint="default"/>
      </w:rPr>
    </w:lvl>
    <w:lvl w:ilvl="8">
      <w:start w:val="1"/>
      <w:numFmt w:val="decimal"/>
      <w:isLgl/>
      <w:lvlText w:val="%1.%2.%3.%4.%5.%6.%7.%8.%9."/>
      <w:lvlJc w:val="left"/>
      <w:pPr>
        <w:ind w:left="3136" w:hanging="1800"/>
      </w:pPr>
      <w:rPr>
        <w:rFonts w:hint="default"/>
      </w:rPr>
    </w:lvl>
  </w:abstractNum>
  <w:abstractNum w:abstractNumId="12" w15:restartNumberingAfterBreak="0">
    <w:nsid w:val="1C7B624F"/>
    <w:multiLevelType w:val="multilevel"/>
    <w:tmpl w:val="5E0A17D8"/>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20B3C94"/>
    <w:multiLevelType w:val="hybridMultilevel"/>
    <w:tmpl w:val="3026A3F2"/>
    <w:lvl w:ilvl="0" w:tplc="4A44810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E6071C"/>
    <w:multiLevelType w:val="hybridMultilevel"/>
    <w:tmpl w:val="C8202BB4"/>
    <w:lvl w:ilvl="0" w:tplc="04090001">
      <w:start w:val="1"/>
      <w:numFmt w:val="bullet"/>
      <w:lvlText w:val=""/>
      <w:lvlJc w:val="left"/>
      <w:pPr>
        <w:ind w:left="1797" w:hanging="360"/>
      </w:pPr>
      <w:rPr>
        <w:rFonts w:ascii="Symbol" w:hAnsi="Symbol"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15" w15:restartNumberingAfterBreak="0">
    <w:nsid w:val="2C8DFDF8"/>
    <w:multiLevelType w:val="multilevel"/>
    <w:tmpl w:val="1D465A64"/>
    <w:name w:val="ListBullet2Numbering"/>
    <w:lvl w:ilvl="0">
      <w:start w:val="1"/>
      <w:numFmt w:val="bullet"/>
      <w:pStyle w:val="Zoznamsodrkami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D293CE3"/>
    <w:multiLevelType w:val="multilevel"/>
    <w:tmpl w:val="0AC0C0D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F4"/>
    <w:multiLevelType w:val="multilevel"/>
    <w:tmpl w:val="C304E79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45B4595"/>
    <w:multiLevelType w:val="multilevel"/>
    <w:tmpl w:val="621067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324F1E"/>
    <w:multiLevelType w:val="multilevel"/>
    <w:tmpl w:val="127EBD9A"/>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7CB1E1C"/>
    <w:multiLevelType w:val="multilevel"/>
    <w:tmpl w:val="AC84F03A"/>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A7730C4"/>
    <w:multiLevelType w:val="multilevel"/>
    <w:tmpl w:val="D0DACB3E"/>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29E662A"/>
    <w:multiLevelType w:val="multilevel"/>
    <w:tmpl w:val="812E588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B1A6408"/>
    <w:multiLevelType w:val="hybridMultilevel"/>
    <w:tmpl w:val="87D46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1A63DF"/>
    <w:multiLevelType w:val="multilevel"/>
    <w:tmpl w:val="FB660194"/>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4E1A982C"/>
    <w:multiLevelType w:val="multilevel"/>
    <w:tmpl w:val="4ADC3948"/>
    <w:name w:val="ListBulletNumbering"/>
    <w:lvl w:ilvl="0">
      <w:start w:val="1"/>
      <w:numFmt w:val="bullet"/>
      <w:pStyle w:val="Zoznamsodrkami"/>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5072619B"/>
    <w:multiLevelType w:val="multilevel"/>
    <w:tmpl w:val="DF6A90E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50729B52"/>
    <w:multiLevelType w:val="multilevel"/>
    <w:tmpl w:val="CAD85DF6"/>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51D405EE"/>
    <w:multiLevelType w:val="hybridMultilevel"/>
    <w:tmpl w:val="53A6A18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68472ABB"/>
    <w:multiLevelType w:val="hybridMultilevel"/>
    <w:tmpl w:val="C43A8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77472E"/>
    <w:multiLevelType w:val="multilevel"/>
    <w:tmpl w:val="D65AFB72"/>
    <w:name w:val="ListNumber4Numbering"/>
    <w:lvl w:ilvl="0">
      <w:start w:val="1"/>
      <w:numFmt w:val="decimal"/>
      <w:pStyle w:val="slovanzoznam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6F1A0C6D"/>
    <w:multiLevelType w:val="hybridMultilevel"/>
    <w:tmpl w:val="C2525C6E"/>
    <w:lvl w:ilvl="0" w:tplc="257A15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7C65145E"/>
    <w:multiLevelType w:val="multilevel"/>
    <w:tmpl w:val="A9349A46"/>
    <w:name w:val="EurolookHeading"/>
    <w:lvl w:ilvl="0">
      <w:start w:val="1"/>
      <w:numFmt w:val="decimal"/>
      <w:pStyle w:val="Nadpis1"/>
      <w:lvlText w:val="%1."/>
      <w:lvlJc w:val="left"/>
      <w:pPr>
        <w:tabs>
          <w:tab w:val="num" w:pos="482"/>
        </w:tabs>
        <w:ind w:left="482" w:hanging="482"/>
      </w:pPr>
    </w:lvl>
    <w:lvl w:ilvl="1">
      <w:start w:val="1"/>
      <w:numFmt w:val="decimal"/>
      <w:pStyle w:val="Nadpis2"/>
      <w:lvlText w:val="%1.%2."/>
      <w:lvlJc w:val="left"/>
      <w:pPr>
        <w:tabs>
          <w:tab w:val="num" w:pos="1077"/>
        </w:tabs>
        <w:ind w:left="1077" w:hanging="595"/>
      </w:pPr>
    </w:lvl>
    <w:lvl w:ilvl="2">
      <w:start w:val="1"/>
      <w:numFmt w:val="decimal"/>
      <w:pStyle w:val="Nadpis3"/>
      <w:lvlText w:val="%1.%2.%3."/>
      <w:lvlJc w:val="left"/>
      <w:pPr>
        <w:tabs>
          <w:tab w:val="num" w:pos="1922"/>
        </w:tabs>
        <w:ind w:left="1922" w:hanging="845"/>
      </w:pPr>
    </w:lvl>
    <w:lvl w:ilvl="3">
      <w:start w:val="1"/>
      <w:numFmt w:val="decimal"/>
      <w:pStyle w:val="Nadpis4"/>
      <w:lvlText w:val="%1.%2.%3.%4."/>
      <w:lvlJc w:val="left"/>
      <w:pPr>
        <w:tabs>
          <w:tab w:val="num" w:pos="2880"/>
        </w:tabs>
        <w:ind w:left="2880" w:hanging="958"/>
      </w:pPr>
    </w:lvl>
    <w:lvl w:ilvl="4">
      <w:start w:val="1"/>
      <w:numFmt w:val="decimal"/>
      <w:pStyle w:val="Nadpis5"/>
      <w:lvlText w:val="%1.%2.%3.%4.%5."/>
      <w:lvlJc w:val="left"/>
      <w:pPr>
        <w:tabs>
          <w:tab w:val="num" w:pos="2880"/>
        </w:tabs>
        <w:ind w:left="3838" w:hanging="958"/>
      </w:pPr>
    </w:lvl>
    <w:lvl w:ilvl="5">
      <w:start w:val="1"/>
      <w:numFmt w:val="decimal"/>
      <w:pStyle w:val="Nadpis6"/>
      <w:lvlText w:val="%1.%2.%3.%4.%5.%6."/>
      <w:lvlJc w:val="left"/>
      <w:pPr>
        <w:tabs>
          <w:tab w:val="num" w:pos="2880"/>
        </w:tabs>
        <w:ind w:left="3838" w:hanging="958"/>
      </w:pPr>
    </w:lvl>
    <w:lvl w:ilvl="6">
      <w:start w:val="1"/>
      <w:numFmt w:val="decimal"/>
      <w:pStyle w:val="Nadpis7"/>
      <w:lvlText w:val="%1.%2.%3.%4.%5.%6.%7."/>
      <w:lvlJc w:val="left"/>
      <w:pPr>
        <w:tabs>
          <w:tab w:val="num" w:pos="2880"/>
        </w:tabs>
        <w:ind w:left="3838" w:hanging="958"/>
      </w:pPr>
    </w:lvl>
    <w:lvl w:ilvl="7">
      <w:start w:val="1"/>
      <w:numFmt w:val="decimal"/>
      <w:pStyle w:val="Nadpis8"/>
      <w:lvlText w:val="%1.%2.%3.%4.%5.%6.%7.%8."/>
      <w:lvlJc w:val="left"/>
      <w:pPr>
        <w:tabs>
          <w:tab w:val="num" w:pos="2880"/>
        </w:tabs>
        <w:ind w:left="3838" w:hanging="958"/>
      </w:pPr>
    </w:lvl>
    <w:lvl w:ilvl="8">
      <w:start w:val="1"/>
      <w:numFmt w:val="decimal"/>
      <w:pStyle w:val="Nadpis9"/>
      <w:lvlText w:val="%1.%2.%3.%4.%5.%6.%7.%8.%9."/>
      <w:lvlJc w:val="left"/>
      <w:pPr>
        <w:tabs>
          <w:tab w:val="num" w:pos="2880"/>
        </w:tabs>
        <w:ind w:left="3838" w:hanging="958"/>
      </w:pPr>
    </w:lvl>
  </w:abstractNum>
  <w:abstractNum w:abstractNumId="33"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34" w15:restartNumberingAfterBreak="0">
    <w:nsid w:val="7DA56712"/>
    <w:multiLevelType w:val="multilevel"/>
    <w:tmpl w:val="E17CFCC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7E195AFC"/>
    <w:multiLevelType w:val="hybridMultilevel"/>
    <w:tmpl w:val="8F3803C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631666875">
    <w:abstractNumId w:val="3"/>
  </w:num>
  <w:num w:numId="2" w16cid:durableId="881938911">
    <w:abstractNumId w:val="19"/>
  </w:num>
  <w:num w:numId="3" w16cid:durableId="2142847221">
    <w:abstractNumId w:val="12"/>
  </w:num>
  <w:num w:numId="4" w16cid:durableId="2127234490">
    <w:abstractNumId w:val="20"/>
  </w:num>
  <w:num w:numId="5" w16cid:durableId="1633245705">
    <w:abstractNumId w:val="26"/>
  </w:num>
  <w:num w:numId="6" w16cid:durableId="1417556397">
    <w:abstractNumId w:val="30"/>
  </w:num>
  <w:num w:numId="7" w16cid:durableId="1127046291">
    <w:abstractNumId w:val="4"/>
  </w:num>
  <w:num w:numId="8" w16cid:durableId="1839928694">
    <w:abstractNumId w:val="10"/>
  </w:num>
  <w:num w:numId="9" w16cid:durableId="1202329180">
    <w:abstractNumId w:val="22"/>
  </w:num>
  <w:num w:numId="10" w16cid:durableId="622613123">
    <w:abstractNumId w:val="5"/>
  </w:num>
  <w:num w:numId="11" w16cid:durableId="1839298367">
    <w:abstractNumId w:val="7"/>
  </w:num>
  <w:num w:numId="12" w16cid:durableId="1508012121">
    <w:abstractNumId w:val="8"/>
  </w:num>
  <w:num w:numId="13" w16cid:durableId="204997274">
    <w:abstractNumId w:val="15"/>
  </w:num>
  <w:num w:numId="14" w16cid:durableId="1476020198">
    <w:abstractNumId w:val="21"/>
  </w:num>
  <w:num w:numId="15" w16cid:durableId="1944873762">
    <w:abstractNumId w:val="25"/>
  </w:num>
  <w:num w:numId="16" w16cid:durableId="1946693278">
    <w:abstractNumId w:val="32"/>
  </w:num>
  <w:num w:numId="17" w16cid:durableId="657340420">
    <w:abstractNumId w:val="16"/>
  </w:num>
  <w:num w:numId="18" w16cid:durableId="1397362798">
    <w:abstractNumId w:val="17"/>
  </w:num>
  <w:num w:numId="19" w16cid:durableId="1322924623">
    <w:abstractNumId w:val="33"/>
  </w:num>
  <w:num w:numId="20" w16cid:durableId="1385759792">
    <w:abstractNumId w:val="24"/>
  </w:num>
  <w:num w:numId="21" w16cid:durableId="1354768240">
    <w:abstractNumId w:val="27"/>
  </w:num>
  <w:num w:numId="22" w16cid:durableId="1011026395">
    <w:abstractNumId w:val="6"/>
  </w:num>
  <w:num w:numId="23" w16cid:durableId="789981882">
    <w:abstractNumId w:val="1"/>
  </w:num>
  <w:num w:numId="24" w16cid:durableId="2002344941">
    <w:abstractNumId w:val="0"/>
  </w:num>
  <w:num w:numId="25" w16cid:durableId="550922523">
    <w:abstractNumId w:val="2"/>
  </w:num>
  <w:num w:numId="26" w16cid:durableId="1025401686">
    <w:abstractNumId w:val="31"/>
  </w:num>
  <w:num w:numId="27" w16cid:durableId="647322054">
    <w:abstractNumId w:val="34"/>
  </w:num>
  <w:num w:numId="28" w16cid:durableId="1368676737">
    <w:abstractNumId w:val="18"/>
  </w:num>
  <w:num w:numId="29" w16cid:durableId="1724255704">
    <w:abstractNumId w:val="29"/>
  </w:num>
  <w:num w:numId="30" w16cid:durableId="766116635">
    <w:abstractNumId w:val="23"/>
  </w:num>
  <w:num w:numId="31" w16cid:durableId="1887832216">
    <w:abstractNumId w:val="32"/>
    <w:lvlOverride w:ilvl="0">
      <w:startOverride w:val="2"/>
    </w:lvlOverride>
    <w:lvlOverride w:ilvl="1">
      <w:startOverride w:val="4"/>
    </w:lvlOverride>
  </w:num>
  <w:num w:numId="32" w16cid:durableId="2038459822">
    <w:abstractNumId w:val="28"/>
  </w:num>
  <w:num w:numId="33" w16cid:durableId="1898927493">
    <w:abstractNumId w:val="35"/>
  </w:num>
  <w:num w:numId="34" w16cid:durableId="1782412205">
    <w:abstractNumId w:val="9"/>
  </w:num>
  <w:num w:numId="35" w16cid:durableId="148716643">
    <w:abstractNumId w:val="14"/>
  </w:num>
  <w:num w:numId="36" w16cid:durableId="2057701718">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88597575">
    <w:abstractNumId w:val="1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EUROLOOK"/>
  </w:docVars>
  <w:rsids>
    <w:rsidRoot w:val="00026246"/>
    <w:rsid w:val="00026246"/>
    <w:rsid w:val="00884217"/>
    <w:rsid w:val="008F0D2D"/>
    <w:rsid w:val="00D57CF6"/>
    <w:rsid w:val="00F02FF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2E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IE" w:bidi="ar-SA"/>
      </w:rPr>
    </w:rPrDefault>
    <w:pPrDefault/>
  </w:docDefaults>
  <w:latentStyles w:defLockedState="1" w:defUIPriority="0"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2"/>
    <w:lsdException w:name="footer" w:uiPriority="2"/>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lsdException w:name="Mention" w:semiHidden="1"/>
    <w:lsdException w:name="Smart Hyperlink" w:semiHidden="1"/>
    <w:lsdException w:name="Hashtag" w:semiHidden="1"/>
    <w:lsdException w:name="Unresolved Mention" w:semiHidden="1"/>
    <w:lsdException w:name="Smart Link" w:locked="0" w:semiHidden="1" w:uiPriority="99" w:unhideWhenUsed="1"/>
  </w:latentStyles>
  <w:style w:type="paragraph" w:default="1" w:styleId="Normlny">
    <w:name w:val="Normal"/>
    <w:uiPriority w:val="1"/>
    <w:qFormat/>
    <w:pPr>
      <w:spacing w:after="240"/>
      <w:jc w:val="both"/>
    </w:pPr>
  </w:style>
  <w:style w:type="paragraph" w:styleId="Nadpis1">
    <w:name w:val="heading 1"/>
    <w:basedOn w:val="Normlny"/>
    <w:next w:val="Text1"/>
    <w:uiPriority w:val="1"/>
    <w:qFormat/>
    <w:pPr>
      <w:keepNext/>
      <w:numPr>
        <w:numId w:val="16"/>
      </w:numPr>
      <w:spacing w:before="240"/>
      <w:outlineLvl w:val="0"/>
    </w:pPr>
    <w:rPr>
      <w:b/>
      <w:smallCaps/>
    </w:rPr>
  </w:style>
  <w:style w:type="paragraph" w:styleId="Nadpis2">
    <w:name w:val="heading 2"/>
    <w:basedOn w:val="Normlny"/>
    <w:next w:val="Text2"/>
    <w:uiPriority w:val="1"/>
    <w:qFormat/>
    <w:pPr>
      <w:keepNext/>
      <w:numPr>
        <w:ilvl w:val="1"/>
        <w:numId w:val="16"/>
      </w:numPr>
      <w:outlineLvl w:val="1"/>
    </w:pPr>
    <w:rPr>
      <w:b/>
    </w:rPr>
  </w:style>
  <w:style w:type="paragraph" w:styleId="Nadpis3">
    <w:name w:val="heading 3"/>
    <w:basedOn w:val="Normlny"/>
    <w:next w:val="Text3"/>
    <w:uiPriority w:val="1"/>
    <w:qFormat/>
    <w:pPr>
      <w:keepNext/>
      <w:numPr>
        <w:ilvl w:val="2"/>
        <w:numId w:val="16"/>
      </w:numPr>
      <w:outlineLvl w:val="2"/>
    </w:pPr>
    <w:rPr>
      <w:i/>
    </w:rPr>
  </w:style>
  <w:style w:type="paragraph" w:styleId="Nadpis4">
    <w:name w:val="heading 4"/>
    <w:basedOn w:val="Normlny"/>
    <w:next w:val="Text4"/>
    <w:uiPriority w:val="1"/>
    <w:qFormat/>
    <w:pPr>
      <w:keepNext/>
      <w:numPr>
        <w:ilvl w:val="3"/>
        <w:numId w:val="16"/>
      </w:numPr>
      <w:outlineLvl w:val="3"/>
    </w:pPr>
  </w:style>
  <w:style w:type="paragraph" w:styleId="Nadpis5">
    <w:name w:val="heading 5"/>
    <w:basedOn w:val="Normlny"/>
    <w:next w:val="Normlny"/>
    <w:semiHidden/>
    <w:pPr>
      <w:keepNext/>
      <w:numPr>
        <w:ilvl w:val="4"/>
        <w:numId w:val="16"/>
      </w:numPr>
      <w:outlineLvl w:val="4"/>
    </w:pPr>
  </w:style>
  <w:style w:type="paragraph" w:styleId="Nadpis6">
    <w:name w:val="heading 6"/>
    <w:basedOn w:val="Normlny"/>
    <w:next w:val="Normlny"/>
    <w:semiHidden/>
    <w:pPr>
      <w:keepNext/>
      <w:numPr>
        <w:ilvl w:val="5"/>
        <w:numId w:val="16"/>
      </w:numPr>
      <w:outlineLvl w:val="5"/>
    </w:pPr>
  </w:style>
  <w:style w:type="paragraph" w:styleId="Nadpis7">
    <w:name w:val="heading 7"/>
    <w:basedOn w:val="Normlny"/>
    <w:next w:val="Normlny"/>
    <w:semiHidden/>
    <w:pPr>
      <w:keepNext/>
      <w:numPr>
        <w:ilvl w:val="6"/>
        <w:numId w:val="16"/>
      </w:numPr>
      <w:outlineLvl w:val="6"/>
    </w:pPr>
  </w:style>
  <w:style w:type="paragraph" w:styleId="Nadpis8">
    <w:name w:val="heading 8"/>
    <w:basedOn w:val="Normlny"/>
    <w:next w:val="Normlny"/>
    <w:semiHidden/>
    <w:pPr>
      <w:keepNext/>
      <w:numPr>
        <w:ilvl w:val="7"/>
        <w:numId w:val="16"/>
      </w:numPr>
      <w:outlineLvl w:val="7"/>
    </w:pPr>
  </w:style>
  <w:style w:type="paragraph" w:styleId="Nadpis9">
    <w:name w:val="heading 9"/>
    <w:basedOn w:val="Normlny"/>
    <w:next w:val="Normlny"/>
    <w:semiHidden/>
    <w:pPr>
      <w:keepNext/>
      <w:numPr>
        <w:ilvl w:val="8"/>
        <w:numId w:val="16"/>
      </w:numPr>
      <w:outlineLvl w:val="8"/>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BodyPlaceholderText">
    <w:name w:val="BodyPlaceholderText"/>
    <w:basedOn w:val="Zstupntext"/>
    <w:semiHidden/>
    <w:rPr>
      <w:vanish w:val="0"/>
      <w:color w:val="3366CC"/>
    </w:rPr>
  </w:style>
  <w:style w:type="character" w:customStyle="1" w:styleId="CrossReference">
    <w:name w:val="Cross Reference"/>
    <w:basedOn w:val="Predvolenpsmoodseku"/>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Zstupntext">
    <w:name w:val="Placeholder Text"/>
    <w:basedOn w:val="Predvolenpsmoodseku"/>
    <w:semiHidden/>
    <w:rPr>
      <w:vanish w:val="0"/>
      <w:color w:val="288061"/>
    </w:rPr>
  </w:style>
  <w:style w:type="paragraph" w:customStyle="1" w:styleId="AfterTable">
    <w:name w:val="After Table"/>
    <w:semiHidden/>
    <w:rPr>
      <w:sz w:val="4"/>
    </w:rPr>
  </w:style>
  <w:style w:type="paragraph" w:customStyle="1" w:styleId="AnnexTitle">
    <w:name w:val="AnnexTitle"/>
    <w:basedOn w:val="Normlny"/>
    <w:next w:val="Normlny"/>
    <w:uiPriority w:val="1"/>
    <w:qFormat/>
    <w:pPr>
      <w:pageBreakBefore/>
      <w:numPr>
        <w:numId w:val="19"/>
      </w:numPr>
      <w:spacing w:after="480"/>
      <w:outlineLvl w:val="0"/>
    </w:pPr>
    <w:rPr>
      <w:b/>
      <w:sz w:val="32"/>
    </w:rPr>
  </w:style>
  <w:style w:type="paragraph" w:styleId="Popis">
    <w:name w:val="caption"/>
    <w:basedOn w:val="Normlny"/>
    <w:next w:val="Normlny"/>
    <w:semiHidden/>
    <w:pPr>
      <w:spacing w:before="160"/>
    </w:pPr>
    <w:rPr>
      <w:i/>
      <w:sz w:val="22"/>
    </w:rPr>
  </w:style>
  <w:style w:type="paragraph" w:styleId="Zver">
    <w:name w:val="Closing"/>
    <w:basedOn w:val="Normlny"/>
    <w:next w:val="Podpis"/>
    <w:uiPriority w:val="2"/>
    <w:pPr>
      <w:tabs>
        <w:tab w:val="left" w:pos="5102"/>
      </w:tabs>
      <w:spacing w:before="240"/>
      <w:ind w:left="5102"/>
      <w:jc w:val="left"/>
    </w:pPr>
  </w:style>
  <w:style w:type="paragraph" w:customStyle="1" w:styleId="ClosingL">
    <w:name w:val="ClosingL"/>
    <w:basedOn w:val="Normlny"/>
    <w:next w:val="Podpis"/>
    <w:uiPriority w:val="2"/>
    <w:pPr>
      <w:spacing w:before="240"/>
      <w:jc w:val="left"/>
    </w:pPr>
  </w:style>
  <w:style w:type="paragraph" w:customStyle="1" w:styleId="ConfidentialUE">
    <w:name w:val="Confidential UE"/>
    <w:basedOn w:val="Normlny"/>
    <w:semiHidden/>
    <w:pPr>
      <w:spacing w:after="0"/>
      <w:jc w:val="center"/>
    </w:pPr>
    <w:rPr>
      <w:b/>
      <w:caps/>
      <w:sz w:val="32"/>
      <w:bdr w:val="single" w:sz="18" w:space="0" w:color="auto"/>
    </w:rPr>
  </w:style>
  <w:style w:type="paragraph" w:customStyle="1" w:styleId="Contact">
    <w:name w:val="Contact"/>
    <w:basedOn w:val="Normlny"/>
    <w:uiPriority w:val="1"/>
    <w:pPr>
      <w:spacing w:before="480" w:after="0"/>
      <w:ind w:left="567" w:hanging="567"/>
      <w:contextualSpacing/>
      <w:jc w:val="left"/>
    </w:pPr>
  </w:style>
  <w:style w:type="paragraph" w:customStyle="1" w:styleId="ContNum">
    <w:name w:val="ContNum"/>
    <w:basedOn w:val="Normlny"/>
    <w:uiPriority w:val="1"/>
    <w:qFormat/>
    <w:pPr>
      <w:numPr>
        <w:numId w:val="18"/>
      </w:numPr>
    </w:pPr>
  </w:style>
  <w:style w:type="paragraph" w:customStyle="1" w:styleId="ContNumLevel2">
    <w:name w:val="ContNum (Level 2)"/>
    <w:basedOn w:val="Normlny"/>
    <w:uiPriority w:val="1"/>
    <w:pPr>
      <w:numPr>
        <w:ilvl w:val="1"/>
        <w:numId w:val="18"/>
      </w:numPr>
    </w:pPr>
  </w:style>
  <w:style w:type="paragraph" w:customStyle="1" w:styleId="ContNumLevel3">
    <w:name w:val="ContNum (Level 3)"/>
    <w:basedOn w:val="Normlny"/>
    <w:uiPriority w:val="1"/>
    <w:pPr>
      <w:numPr>
        <w:ilvl w:val="2"/>
        <w:numId w:val="18"/>
      </w:numPr>
    </w:pPr>
  </w:style>
  <w:style w:type="paragraph" w:customStyle="1" w:styleId="Copies">
    <w:name w:val="Copies"/>
    <w:basedOn w:val="Normlny"/>
    <w:uiPriority w:val="2"/>
    <w:pPr>
      <w:tabs>
        <w:tab w:val="left" w:pos="5669"/>
      </w:tabs>
      <w:spacing w:before="480" w:after="0"/>
      <w:ind w:left="1531" w:hanging="1531"/>
      <w:contextualSpacing/>
      <w:jc w:val="left"/>
    </w:pPr>
  </w:style>
  <w:style w:type="paragraph" w:styleId="Dtum">
    <w:name w:val="Date"/>
    <w:basedOn w:val="Normlny"/>
    <w:next w:val="References"/>
    <w:uiPriority w:val="1"/>
    <w:pPr>
      <w:spacing w:after="0"/>
      <w:ind w:left="5102" w:right="-567"/>
      <w:jc w:val="left"/>
    </w:pPr>
  </w:style>
  <w:style w:type="paragraph" w:customStyle="1" w:styleId="Designator">
    <w:name w:val="Designator"/>
    <w:basedOn w:val="Normlny"/>
    <w:semiHidden/>
    <w:pPr>
      <w:spacing w:after="0"/>
      <w:jc w:val="center"/>
    </w:pPr>
    <w:rPr>
      <w:b/>
      <w:caps/>
      <w:sz w:val="32"/>
    </w:rPr>
  </w:style>
  <w:style w:type="paragraph" w:customStyle="1" w:styleId="DoubSign">
    <w:name w:val="DoubSign"/>
    <w:basedOn w:val="Normlny"/>
    <w:uiPriority w:val="2"/>
    <w:pPr>
      <w:spacing w:before="1200" w:after="0"/>
      <w:jc w:val="left"/>
    </w:pPr>
  </w:style>
  <w:style w:type="paragraph" w:customStyle="1" w:styleId="EmptyParagraph">
    <w:name w:val="Empty Paragraph"/>
    <w:basedOn w:val="Normlny"/>
    <w:next w:val="Normlny"/>
    <w:semiHidden/>
    <w:pPr>
      <w:spacing w:before="240"/>
    </w:pPr>
  </w:style>
  <w:style w:type="paragraph" w:customStyle="1" w:styleId="Enclosures">
    <w:name w:val="Enclosures"/>
    <w:basedOn w:val="Normlny"/>
    <w:uiPriority w:val="2"/>
    <w:pPr>
      <w:keepNext/>
      <w:keepLines/>
      <w:tabs>
        <w:tab w:val="left" w:pos="5669"/>
      </w:tabs>
      <w:spacing w:before="480" w:after="0"/>
      <w:ind w:left="1531" w:hanging="1531"/>
      <w:contextualSpacing/>
      <w:jc w:val="left"/>
    </w:pPr>
  </w:style>
  <w:style w:type="paragraph" w:styleId="Textvysvetlivky">
    <w:name w:val="endnote text"/>
    <w:basedOn w:val="Normlny"/>
    <w:semiHidden/>
    <w:unhideWhenUsed/>
    <w:pPr>
      <w:spacing w:after="120"/>
      <w:ind w:left="357" w:hanging="357"/>
    </w:pPr>
    <w:rPr>
      <w:sz w:val="20"/>
    </w:rPr>
  </w:style>
  <w:style w:type="paragraph" w:customStyle="1" w:styleId="FigureBody">
    <w:name w:val="Figure Body"/>
    <w:basedOn w:val="Normlny"/>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lny"/>
    <w:next w:val="Normlny"/>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lny"/>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Pta">
    <w:name w:val="footer"/>
    <w:basedOn w:val="Normlny"/>
    <w:uiPriority w:val="2"/>
    <w:pPr>
      <w:spacing w:after="0"/>
      <w:ind w:right="-567"/>
      <w:jc w:val="left"/>
    </w:pPr>
    <w:rPr>
      <w:sz w:val="16"/>
    </w:rPr>
  </w:style>
  <w:style w:type="paragraph" w:customStyle="1" w:styleId="FooterLine">
    <w:name w:val="Footer Line"/>
    <w:basedOn w:val="Pta"/>
    <w:next w:val="Pta"/>
    <w:uiPriority w:val="2"/>
    <w:pPr>
      <w:tabs>
        <w:tab w:val="right" w:pos="8646"/>
      </w:tabs>
      <w:spacing w:before="120"/>
      <w:ind w:right="0"/>
    </w:pPr>
  </w:style>
  <w:style w:type="paragraph" w:styleId="Textpoznmkypodiarou">
    <w:name w:val="footnote text"/>
    <w:aliases w:val="Schriftart: 9 pt,Schriftart: 10 pt,Schriftart: 8 pt,WB-Fußnotentext,fn,footnote text,Footnotes,Footnote ak,FoodNote,ft,Footnote text,Footnote,Footnote Text Char Char,Footnote Text Char1 Char Cha,Fußnote,Footnote Text Char1"/>
    <w:basedOn w:val="Normlny"/>
    <w:link w:val="TextpoznmkypodiarouChar"/>
    <w:uiPriority w:val="99"/>
    <w:unhideWhenUsed/>
    <w:qFormat/>
    <w:pPr>
      <w:spacing w:after="120"/>
      <w:ind w:left="357" w:hanging="357"/>
    </w:pPr>
    <w:rPr>
      <w:sz w:val="20"/>
    </w:rPr>
  </w:style>
  <w:style w:type="paragraph" w:customStyle="1" w:styleId="LegalNumPar">
    <w:name w:val="LegalNumPar"/>
    <w:basedOn w:val="Normlny"/>
    <w:uiPriority w:val="1"/>
    <w:qFormat/>
    <w:pPr>
      <w:numPr>
        <w:numId w:val="17"/>
      </w:numPr>
      <w:spacing w:line="360" w:lineRule="auto"/>
    </w:pPr>
  </w:style>
  <w:style w:type="paragraph" w:customStyle="1" w:styleId="LegalNumPar2">
    <w:name w:val="LegalNumPar2"/>
    <w:basedOn w:val="Normlny"/>
    <w:uiPriority w:val="1"/>
    <w:pPr>
      <w:numPr>
        <w:ilvl w:val="1"/>
        <w:numId w:val="17"/>
      </w:numPr>
      <w:spacing w:line="360" w:lineRule="auto"/>
    </w:pPr>
  </w:style>
  <w:style w:type="paragraph" w:customStyle="1" w:styleId="LegalNumPar3">
    <w:name w:val="LegalNumPar3"/>
    <w:basedOn w:val="Normlny"/>
    <w:uiPriority w:val="1"/>
    <w:pPr>
      <w:numPr>
        <w:ilvl w:val="2"/>
        <w:numId w:val="17"/>
      </w:numPr>
      <w:spacing w:line="360" w:lineRule="auto"/>
    </w:pPr>
  </w:style>
  <w:style w:type="paragraph" w:styleId="Zoznamsodrkami">
    <w:name w:val="List Bullet"/>
    <w:basedOn w:val="Normlny"/>
    <w:uiPriority w:val="1"/>
    <w:pPr>
      <w:numPr>
        <w:numId w:val="15"/>
      </w:numPr>
    </w:pPr>
  </w:style>
  <w:style w:type="paragraph" w:customStyle="1" w:styleId="ListBulletLevel2">
    <w:name w:val="List Bullet (Level 2)"/>
    <w:basedOn w:val="Normlny"/>
    <w:uiPriority w:val="1"/>
    <w:pPr>
      <w:numPr>
        <w:ilvl w:val="1"/>
        <w:numId w:val="15"/>
      </w:numPr>
    </w:pPr>
  </w:style>
  <w:style w:type="paragraph" w:customStyle="1" w:styleId="ListBulletLevel3">
    <w:name w:val="List Bullet (Level 3)"/>
    <w:basedOn w:val="Normlny"/>
    <w:uiPriority w:val="1"/>
    <w:semiHidden/>
    <w:unhideWhenUsed/>
    <w:pPr>
      <w:numPr>
        <w:ilvl w:val="2"/>
        <w:numId w:val="15"/>
      </w:numPr>
    </w:pPr>
  </w:style>
  <w:style w:type="paragraph" w:customStyle="1" w:styleId="ListBulletLevel4">
    <w:name w:val="List Bullet (Level 4)"/>
    <w:basedOn w:val="Normlny"/>
    <w:uiPriority w:val="1"/>
    <w:semiHidden/>
    <w:unhideWhenUsed/>
    <w:pPr>
      <w:numPr>
        <w:ilvl w:val="3"/>
        <w:numId w:val="15"/>
      </w:numPr>
    </w:pPr>
  </w:style>
  <w:style w:type="paragraph" w:customStyle="1" w:styleId="ListBullet1">
    <w:name w:val="List Bullet 1"/>
    <w:basedOn w:val="Text1"/>
    <w:uiPriority w:val="1"/>
    <w:pPr>
      <w:numPr>
        <w:numId w:val="14"/>
      </w:numPr>
    </w:pPr>
  </w:style>
  <w:style w:type="paragraph" w:customStyle="1" w:styleId="ListBullet1Level2">
    <w:name w:val="List Bullet 1 (Level 2)"/>
    <w:basedOn w:val="Text1"/>
    <w:uiPriority w:val="1"/>
    <w:pPr>
      <w:numPr>
        <w:ilvl w:val="1"/>
        <w:numId w:val="14"/>
      </w:numPr>
    </w:pPr>
  </w:style>
  <w:style w:type="paragraph" w:customStyle="1" w:styleId="ListBullet1Level3">
    <w:name w:val="List Bullet 1 (Level 3)"/>
    <w:basedOn w:val="Text1"/>
    <w:uiPriority w:val="1"/>
    <w:semiHidden/>
    <w:unhideWhenUsed/>
    <w:pPr>
      <w:numPr>
        <w:ilvl w:val="2"/>
        <w:numId w:val="14"/>
      </w:numPr>
    </w:pPr>
  </w:style>
  <w:style w:type="paragraph" w:customStyle="1" w:styleId="ListBullet1Level4">
    <w:name w:val="List Bullet 1 (Level 4)"/>
    <w:basedOn w:val="Text1"/>
    <w:uiPriority w:val="1"/>
    <w:semiHidden/>
    <w:unhideWhenUsed/>
    <w:pPr>
      <w:numPr>
        <w:ilvl w:val="3"/>
        <w:numId w:val="14"/>
      </w:numPr>
    </w:pPr>
  </w:style>
  <w:style w:type="paragraph" w:styleId="Zoznamsodrkami2">
    <w:name w:val="List Bullet 2"/>
    <w:basedOn w:val="Text2"/>
    <w:uiPriority w:val="1"/>
    <w:pPr>
      <w:numPr>
        <w:numId w:val="13"/>
      </w:numPr>
    </w:pPr>
  </w:style>
  <w:style w:type="paragraph" w:customStyle="1" w:styleId="ListBullet2Level2">
    <w:name w:val="List Bullet 2 (Level 2)"/>
    <w:basedOn w:val="Text2"/>
    <w:uiPriority w:val="1"/>
    <w:pPr>
      <w:numPr>
        <w:ilvl w:val="1"/>
        <w:numId w:val="13"/>
      </w:numPr>
    </w:pPr>
  </w:style>
  <w:style w:type="paragraph" w:customStyle="1" w:styleId="ListBullet2Level3">
    <w:name w:val="List Bullet 2 (Level 3)"/>
    <w:basedOn w:val="Text2"/>
    <w:uiPriority w:val="1"/>
    <w:semiHidden/>
    <w:unhideWhenUsed/>
    <w:pPr>
      <w:numPr>
        <w:ilvl w:val="2"/>
        <w:numId w:val="13"/>
      </w:numPr>
    </w:pPr>
  </w:style>
  <w:style w:type="paragraph" w:customStyle="1" w:styleId="ListBullet2Level4">
    <w:name w:val="List Bullet 2 (Level 4)"/>
    <w:basedOn w:val="Text2"/>
    <w:uiPriority w:val="1"/>
    <w:semiHidden/>
    <w:unhideWhenUsed/>
    <w:pPr>
      <w:numPr>
        <w:ilvl w:val="3"/>
        <w:numId w:val="13"/>
      </w:numPr>
    </w:pPr>
  </w:style>
  <w:style w:type="paragraph" w:styleId="Zoznamsodrkami3">
    <w:name w:val="List Bullet 3"/>
    <w:basedOn w:val="Text3"/>
    <w:uiPriority w:val="1"/>
    <w:pPr>
      <w:numPr>
        <w:numId w:val="12"/>
      </w:numPr>
    </w:pPr>
  </w:style>
  <w:style w:type="paragraph" w:customStyle="1" w:styleId="ListBullet3Level2">
    <w:name w:val="List Bullet 3 (Level 2)"/>
    <w:basedOn w:val="Text3"/>
    <w:uiPriority w:val="1"/>
    <w:pPr>
      <w:numPr>
        <w:ilvl w:val="1"/>
        <w:numId w:val="12"/>
      </w:numPr>
    </w:pPr>
  </w:style>
  <w:style w:type="paragraph" w:customStyle="1" w:styleId="ListBullet3Level3">
    <w:name w:val="List Bullet 3 (Level 3)"/>
    <w:basedOn w:val="Text3"/>
    <w:uiPriority w:val="1"/>
    <w:semiHidden/>
    <w:unhideWhenUsed/>
    <w:pPr>
      <w:numPr>
        <w:ilvl w:val="2"/>
        <w:numId w:val="12"/>
      </w:numPr>
    </w:pPr>
  </w:style>
  <w:style w:type="paragraph" w:customStyle="1" w:styleId="ListBullet3Level4">
    <w:name w:val="List Bullet 3 (Level 4)"/>
    <w:basedOn w:val="Text3"/>
    <w:uiPriority w:val="1"/>
    <w:semiHidden/>
    <w:unhideWhenUsed/>
    <w:pPr>
      <w:numPr>
        <w:ilvl w:val="3"/>
        <w:numId w:val="12"/>
      </w:numPr>
    </w:pPr>
  </w:style>
  <w:style w:type="paragraph" w:styleId="Zoznamsodrkami4">
    <w:name w:val="List Bullet 4"/>
    <w:basedOn w:val="Text4"/>
    <w:uiPriority w:val="1"/>
    <w:pPr>
      <w:numPr>
        <w:numId w:val="11"/>
      </w:numPr>
    </w:pPr>
  </w:style>
  <w:style w:type="paragraph" w:customStyle="1" w:styleId="ListBullet4Level2">
    <w:name w:val="List Bullet 4 (Level 2)"/>
    <w:basedOn w:val="Text4"/>
    <w:uiPriority w:val="1"/>
    <w:pPr>
      <w:numPr>
        <w:ilvl w:val="1"/>
        <w:numId w:val="11"/>
      </w:numPr>
    </w:pPr>
  </w:style>
  <w:style w:type="paragraph" w:customStyle="1" w:styleId="ListBullet4Level3">
    <w:name w:val="List Bullet 4 (Level 3)"/>
    <w:basedOn w:val="Text4"/>
    <w:uiPriority w:val="1"/>
    <w:semiHidden/>
    <w:unhideWhenUsed/>
    <w:pPr>
      <w:numPr>
        <w:ilvl w:val="2"/>
        <w:numId w:val="11"/>
      </w:numPr>
    </w:pPr>
  </w:style>
  <w:style w:type="paragraph" w:customStyle="1" w:styleId="ListBullet4Level4">
    <w:name w:val="List Bullet 4 (Level 4)"/>
    <w:basedOn w:val="Text4"/>
    <w:uiPriority w:val="1"/>
    <w:semiHidden/>
    <w:unhideWhenUsed/>
    <w:pPr>
      <w:numPr>
        <w:ilvl w:val="3"/>
        <w:numId w:val="11"/>
      </w:numPr>
    </w:pPr>
  </w:style>
  <w:style w:type="paragraph" w:customStyle="1" w:styleId="ListDash">
    <w:name w:val="List Dash"/>
    <w:basedOn w:val="Normlny"/>
    <w:uiPriority w:val="1"/>
    <w:pPr>
      <w:numPr>
        <w:numId w:val="5"/>
      </w:numPr>
    </w:pPr>
  </w:style>
  <w:style w:type="paragraph" w:customStyle="1" w:styleId="ListDashLevel2">
    <w:name w:val="List Dash (Level 2)"/>
    <w:basedOn w:val="Normlny"/>
    <w:uiPriority w:val="1"/>
    <w:pPr>
      <w:numPr>
        <w:ilvl w:val="1"/>
        <w:numId w:val="5"/>
      </w:numPr>
    </w:pPr>
  </w:style>
  <w:style w:type="paragraph" w:customStyle="1" w:styleId="ListDashLevel3">
    <w:name w:val="List Dash (Level 3)"/>
    <w:basedOn w:val="Normlny"/>
    <w:uiPriority w:val="1"/>
    <w:semiHidden/>
    <w:unhideWhenUsed/>
    <w:pPr>
      <w:numPr>
        <w:ilvl w:val="2"/>
        <w:numId w:val="5"/>
      </w:numPr>
    </w:pPr>
  </w:style>
  <w:style w:type="paragraph" w:customStyle="1" w:styleId="ListDashLevel4">
    <w:name w:val="List Dash (Level 4)"/>
    <w:basedOn w:val="Normlny"/>
    <w:uiPriority w:val="1"/>
    <w:semiHidden/>
    <w:unhideWhenUsed/>
    <w:pPr>
      <w:numPr>
        <w:ilvl w:val="3"/>
        <w:numId w:val="5"/>
      </w:numPr>
    </w:pPr>
  </w:style>
  <w:style w:type="paragraph" w:customStyle="1" w:styleId="ListDash1">
    <w:name w:val="List Dash 1"/>
    <w:basedOn w:val="Text1"/>
    <w:uiPriority w:val="1"/>
    <w:pPr>
      <w:numPr>
        <w:numId w:val="4"/>
      </w:numPr>
    </w:pPr>
  </w:style>
  <w:style w:type="paragraph" w:customStyle="1" w:styleId="ListDash1Level2">
    <w:name w:val="List Dash 1 (Level 2)"/>
    <w:basedOn w:val="Text1"/>
    <w:uiPriority w:val="1"/>
    <w:pPr>
      <w:numPr>
        <w:ilvl w:val="1"/>
        <w:numId w:val="4"/>
      </w:numPr>
    </w:pPr>
  </w:style>
  <w:style w:type="paragraph" w:customStyle="1" w:styleId="ListDash1Level3">
    <w:name w:val="List Dash 1 (Level 3)"/>
    <w:basedOn w:val="Text1"/>
    <w:uiPriority w:val="1"/>
    <w:semiHidden/>
    <w:unhideWhenUsed/>
    <w:pPr>
      <w:numPr>
        <w:ilvl w:val="2"/>
        <w:numId w:val="4"/>
      </w:numPr>
    </w:pPr>
  </w:style>
  <w:style w:type="paragraph" w:customStyle="1" w:styleId="ListDash1Level4">
    <w:name w:val="List Dash 1 (Level 4)"/>
    <w:basedOn w:val="Text1"/>
    <w:uiPriority w:val="1"/>
    <w:semiHidden/>
    <w:unhideWhenUsed/>
    <w:pPr>
      <w:numPr>
        <w:ilvl w:val="3"/>
        <w:numId w:val="4"/>
      </w:numPr>
    </w:pPr>
  </w:style>
  <w:style w:type="paragraph" w:customStyle="1" w:styleId="ListDash2">
    <w:name w:val="List Dash 2"/>
    <w:basedOn w:val="Text2"/>
    <w:uiPriority w:val="1"/>
    <w:pPr>
      <w:numPr>
        <w:numId w:val="3"/>
      </w:numPr>
    </w:pPr>
  </w:style>
  <w:style w:type="paragraph" w:customStyle="1" w:styleId="ListDash2Level2">
    <w:name w:val="List Dash 2 (Level 2)"/>
    <w:basedOn w:val="Text2"/>
    <w:uiPriority w:val="1"/>
    <w:pPr>
      <w:numPr>
        <w:ilvl w:val="1"/>
        <w:numId w:val="3"/>
      </w:numPr>
    </w:pPr>
  </w:style>
  <w:style w:type="paragraph" w:customStyle="1" w:styleId="ListDash2Level3">
    <w:name w:val="List Dash 2 (Level 3)"/>
    <w:basedOn w:val="Text2"/>
    <w:uiPriority w:val="1"/>
    <w:semiHidden/>
    <w:unhideWhenUsed/>
    <w:pPr>
      <w:numPr>
        <w:ilvl w:val="2"/>
        <w:numId w:val="3"/>
      </w:numPr>
    </w:pPr>
  </w:style>
  <w:style w:type="paragraph" w:customStyle="1" w:styleId="ListDash2Level4">
    <w:name w:val="List Dash 2 (Level 4)"/>
    <w:basedOn w:val="Text2"/>
    <w:uiPriority w:val="1"/>
    <w:semiHidden/>
    <w:unhideWhenUsed/>
    <w:pPr>
      <w:numPr>
        <w:ilvl w:val="3"/>
        <w:numId w:val="3"/>
      </w:numPr>
    </w:pPr>
  </w:style>
  <w:style w:type="paragraph" w:customStyle="1" w:styleId="ListDash3">
    <w:name w:val="List Dash 3"/>
    <w:basedOn w:val="Text3"/>
    <w:uiPriority w:val="1"/>
    <w:pPr>
      <w:numPr>
        <w:numId w:val="2"/>
      </w:numPr>
    </w:pPr>
  </w:style>
  <w:style w:type="paragraph" w:customStyle="1" w:styleId="ListDash3Level2">
    <w:name w:val="List Dash 3 (Level 2)"/>
    <w:basedOn w:val="Text3"/>
    <w:uiPriority w:val="1"/>
    <w:pPr>
      <w:numPr>
        <w:ilvl w:val="1"/>
        <w:numId w:val="2"/>
      </w:numPr>
    </w:pPr>
  </w:style>
  <w:style w:type="paragraph" w:customStyle="1" w:styleId="ListDash3Level3">
    <w:name w:val="List Dash 3 (Level 3)"/>
    <w:basedOn w:val="Text3"/>
    <w:uiPriority w:val="1"/>
    <w:semiHidden/>
    <w:unhideWhenUsed/>
    <w:pPr>
      <w:numPr>
        <w:ilvl w:val="2"/>
        <w:numId w:val="2"/>
      </w:numPr>
    </w:pPr>
  </w:style>
  <w:style w:type="paragraph" w:customStyle="1" w:styleId="ListDash3Level4">
    <w:name w:val="List Dash 3 (Level 4)"/>
    <w:basedOn w:val="Text3"/>
    <w:uiPriority w:val="1"/>
    <w:semiHidden/>
    <w:unhideWhenUsed/>
    <w:pPr>
      <w:numPr>
        <w:ilvl w:val="3"/>
        <w:numId w:val="2"/>
      </w:numPr>
    </w:pPr>
  </w:style>
  <w:style w:type="paragraph" w:customStyle="1" w:styleId="ListDash4">
    <w:name w:val="List Dash 4"/>
    <w:basedOn w:val="Text4"/>
    <w:uiPriority w:val="1"/>
    <w:pPr>
      <w:numPr>
        <w:numId w:val="1"/>
      </w:numPr>
    </w:pPr>
  </w:style>
  <w:style w:type="paragraph" w:customStyle="1" w:styleId="ListDash4Level2">
    <w:name w:val="List Dash 4 (Level 2)"/>
    <w:basedOn w:val="Text4"/>
    <w:uiPriority w:val="1"/>
    <w:pPr>
      <w:numPr>
        <w:ilvl w:val="1"/>
        <w:numId w:val="1"/>
      </w:numPr>
    </w:pPr>
  </w:style>
  <w:style w:type="paragraph" w:customStyle="1" w:styleId="ListDash4Level3">
    <w:name w:val="List Dash 4 (Level 3)"/>
    <w:basedOn w:val="Text4"/>
    <w:uiPriority w:val="1"/>
    <w:semiHidden/>
    <w:unhideWhenUsed/>
    <w:pPr>
      <w:numPr>
        <w:ilvl w:val="2"/>
        <w:numId w:val="1"/>
      </w:numPr>
    </w:pPr>
  </w:style>
  <w:style w:type="paragraph" w:customStyle="1" w:styleId="ListDash4Level4">
    <w:name w:val="List Dash 4 (Level 4)"/>
    <w:basedOn w:val="Text4"/>
    <w:uiPriority w:val="1"/>
    <w:semiHidden/>
    <w:unhideWhenUsed/>
    <w:pPr>
      <w:numPr>
        <w:ilvl w:val="3"/>
        <w:numId w:val="1"/>
      </w:numPr>
    </w:pPr>
  </w:style>
  <w:style w:type="paragraph" w:styleId="slovanzoznam">
    <w:name w:val="List Number"/>
    <w:basedOn w:val="Normlny"/>
    <w:uiPriority w:val="1"/>
    <w:pPr>
      <w:numPr>
        <w:numId w:val="10"/>
      </w:numPr>
    </w:pPr>
  </w:style>
  <w:style w:type="paragraph" w:customStyle="1" w:styleId="ListNumberLevel2">
    <w:name w:val="List Number (Level 2)"/>
    <w:basedOn w:val="Normlny"/>
    <w:uiPriority w:val="1"/>
    <w:pPr>
      <w:numPr>
        <w:ilvl w:val="1"/>
        <w:numId w:val="10"/>
      </w:numPr>
    </w:pPr>
  </w:style>
  <w:style w:type="paragraph" w:customStyle="1" w:styleId="ListNumberLevel3">
    <w:name w:val="List Number (Level 3)"/>
    <w:basedOn w:val="Normlny"/>
    <w:uiPriority w:val="1"/>
    <w:semiHidden/>
    <w:unhideWhenUsed/>
    <w:pPr>
      <w:numPr>
        <w:ilvl w:val="2"/>
        <w:numId w:val="10"/>
      </w:numPr>
    </w:pPr>
  </w:style>
  <w:style w:type="paragraph" w:customStyle="1" w:styleId="ListNumberLevel4">
    <w:name w:val="List Number (Level 4)"/>
    <w:basedOn w:val="Normlny"/>
    <w:uiPriority w:val="1"/>
    <w:semiHidden/>
    <w:unhideWhenUsed/>
    <w:pPr>
      <w:numPr>
        <w:ilvl w:val="3"/>
        <w:numId w:val="10"/>
      </w:numPr>
    </w:pPr>
  </w:style>
  <w:style w:type="paragraph" w:customStyle="1" w:styleId="ListNumber1">
    <w:name w:val="List Number 1"/>
    <w:basedOn w:val="Text1"/>
    <w:uiPriority w:val="1"/>
    <w:pPr>
      <w:numPr>
        <w:numId w:val="9"/>
      </w:numPr>
    </w:pPr>
  </w:style>
  <w:style w:type="paragraph" w:customStyle="1" w:styleId="ListNumber1Level2">
    <w:name w:val="List Number 1 (Level 2)"/>
    <w:basedOn w:val="Text1"/>
    <w:uiPriority w:val="1"/>
    <w:pPr>
      <w:numPr>
        <w:ilvl w:val="1"/>
        <w:numId w:val="9"/>
      </w:numPr>
    </w:pPr>
  </w:style>
  <w:style w:type="paragraph" w:customStyle="1" w:styleId="ListNumber1Level3">
    <w:name w:val="List Number 1 (Level 3)"/>
    <w:basedOn w:val="Text1"/>
    <w:uiPriority w:val="1"/>
    <w:semiHidden/>
    <w:unhideWhenUsed/>
    <w:pPr>
      <w:numPr>
        <w:ilvl w:val="2"/>
        <w:numId w:val="9"/>
      </w:numPr>
    </w:pPr>
  </w:style>
  <w:style w:type="paragraph" w:customStyle="1" w:styleId="ListNumber1Level4">
    <w:name w:val="List Number 1 (Level 4)"/>
    <w:basedOn w:val="Text1"/>
    <w:uiPriority w:val="1"/>
    <w:semiHidden/>
    <w:unhideWhenUsed/>
    <w:pPr>
      <w:numPr>
        <w:ilvl w:val="3"/>
        <w:numId w:val="9"/>
      </w:numPr>
    </w:pPr>
  </w:style>
  <w:style w:type="paragraph" w:styleId="slovanzoznam2">
    <w:name w:val="List Number 2"/>
    <w:basedOn w:val="Text2"/>
    <w:uiPriority w:val="1"/>
    <w:pPr>
      <w:numPr>
        <w:numId w:val="8"/>
      </w:numPr>
    </w:pPr>
  </w:style>
  <w:style w:type="paragraph" w:customStyle="1" w:styleId="ListNumber2Level2">
    <w:name w:val="List Number 2 (Level 2)"/>
    <w:basedOn w:val="Text2"/>
    <w:uiPriority w:val="1"/>
    <w:pPr>
      <w:numPr>
        <w:ilvl w:val="1"/>
        <w:numId w:val="8"/>
      </w:numPr>
    </w:pPr>
  </w:style>
  <w:style w:type="paragraph" w:customStyle="1" w:styleId="ListNumber2Level3">
    <w:name w:val="List Number 2 (Level 3)"/>
    <w:basedOn w:val="Text2"/>
    <w:uiPriority w:val="1"/>
    <w:semiHidden/>
    <w:unhideWhenUsed/>
    <w:pPr>
      <w:numPr>
        <w:ilvl w:val="2"/>
        <w:numId w:val="8"/>
      </w:numPr>
    </w:pPr>
  </w:style>
  <w:style w:type="paragraph" w:customStyle="1" w:styleId="ListNumber2Level4">
    <w:name w:val="List Number 2 (Level 4)"/>
    <w:basedOn w:val="Text2"/>
    <w:uiPriority w:val="1"/>
    <w:semiHidden/>
    <w:unhideWhenUsed/>
    <w:pPr>
      <w:numPr>
        <w:ilvl w:val="3"/>
        <w:numId w:val="8"/>
      </w:numPr>
    </w:pPr>
  </w:style>
  <w:style w:type="paragraph" w:styleId="slovanzoznam3">
    <w:name w:val="List Number 3"/>
    <w:basedOn w:val="Text3"/>
    <w:uiPriority w:val="1"/>
    <w:pPr>
      <w:numPr>
        <w:numId w:val="7"/>
      </w:numPr>
    </w:pPr>
  </w:style>
  <w:style w:type="paragraph" w:customStyle="1" w:styleId="ListNumber3Level2">
    <w:name w:val="List Number 3 (Level 2)"/>
    <w:basedOn w:val="Text3"/>
    <w:uiPriority w:val="1"/>
    <w:pPr>
      <w:numPr>
        <w:ilvl w:val="1"/>
        <w:numId w:val="7"/>
      </w:numPr>
    </w:pPr>
  </w:style>
  <w:style w:type="paragraph" w:customStyle="1" w:styleId="ListNumber3Level3">
    <w:name w:val="List Number 3 (Level 3)"/>
    <w:basedOn w:val="Text3"/>
    <w:uiPriority w:val="1"/>
    <w:semiHidden/>
    <w:unhideWhenUsed/>
    <w:pPr>
      <w:numPr>
        <w:ilvl w:val="2"/>
        <w:numId w:val="7"/>
      </w:numPr>
    </w:pPr>
  </w:style>
  <w:style w:type="paragraph" w:customStyle="1" w:styleId="ListNumber3Level4">
    <w:name w:val="List Number 3 (Level 4)"/>
    <w:basedOn w:val="Text3"/>
    <w:uiPriority w:val="1"/>
    <w:semiHidden/>
    <w:unhideWhenUsed/>
    <w:pPr>
      <w:numPr>
        <w:ilvl w:val="3"/>
        <w:numId w:val="7"/>
      </w:numPr>
    </w:pPr>
  </w:style>
  <w:style w:type="paragraph" w:styleId="slovanzoznam4">
    <w:name w:val="List Number 4"/>
    <w:basedOn w:val="Text4"/>
    <w:uiPriority w:val="1"/>
    <w:pPr>
      <w:numPr>
        <w:numId w:val="6"/>
      </w:numPr>
    </w:pPr>
  </w:style>
  <w:style w:type="paragraph" w:customStyle="1" w:styleId="ListNumber4Level2">
    <w:name w:val="List Number 4 (Level 2)"/>
    <w:basedOn w:val="Text4"/>
    <w:uiPriority w:val="1"/>
    <w:pPr>
      <w:numPr>
        <w:ilvl w:val="1"/>
        <w:numId w:val="6"/>
      </w:numPr>
    </w:pPr>
  </w:style>
  <w:style w:type="paragraph" w:customStyle="1" w:styleId="ListNumber4Level3">
    <w:name w:val="List Number 4 (Level 3)"/>
    <w:basedOn w:val="Text4"/>
    <w:uiPriority w:val="1"/>
    <w:semiHidden/>
    <w:unhideWhenUsed/>
    <w:pPr>
      <w:numPr>
        <w:ilvl w:val="2"/>
        <w:numId w:val="6"/>
      </w:numPr>
    </w:pPr>
  </w:style>
  <w:style w:type="paragraph" w:customStyle="1" w:styleId="ListNumber4Level4">
    <w:name w:val="List Number 4 (Level 4)"/>
    <w:basedOn w:val="Text4"/>
    <w:uiPriority w:val="1"/>
    <w:semiHidden/>
    <w:unhideWhenUsed/>
    <w:pPr>
      <w:numPr>
        <w:ilvl w:val="3"/>
        <w:numId w:val="6"/>
      </w:numPr>
    </w:pPr>
  </w:style>
  <w:style w:type="paragraph" w:styleId="Textmakra">
    <w:name w:val="macro"/>
    <w:basedOn w:val="Normlny"/>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lny"/>
    <w:semiHidden/>
    <w:pPr>
      <w:ind w:left="5102" w:right="-680"/>
      <w:contextualSpacing/>
      <w:jc w:val="left"/>
    </w:pPr>
    <w:rPr>
      <w:sz w:val="28"/>
      <w:lang w:val="en-IE"/>
    </w:rPr>
  </w:style>
  <w:style w:type="paragraph" w:customStyle="1" w:styleId="NoteAddressee">
    <w:name w:val="NoteAddressee"/>
    <w:basedOn w:val="Normlny"/>
    <w:uiPriority w:val="2"/>
    <w:pPr>
      <w:spacing w:after="720"/>
      <w:contextualSpacing/>
      <w:jc w:val="center"/>
    </w:pPr>
    <w:rPr>
      <w:b/>
      <w:smallCaps/>
    </w:rPr>
  </w:style>
  <w:style w:type="paragraph" w:customStyle="1" w:styleId="NoteColumn">
    <w:name w:val="NoteColumn"/>
    <w:basedOn w:val="Normlny"/>
    <w:uiPriority w:val="2"/>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lny"/>
    <w:uiPriority w:val="2"/>
    <w:pPr>
      <w:spacing w:before="720" w:after="720"/>
      <w:contextualSpacing/>
      <w:jc w:val="center"/>
    </w:pPr>
    <w:rPr>
      <w:b/>
      <w:smallCaps/>
    </w:rPr>
  </w:style>
  <w:style w:type="paragraph" w:customStyle="1" w:styleId="NoteList">
    <w:name w:val="NoteList"/>
    <w:basedOn w:val="Normlny"/>
    <w:uiPriority w:val="2"/>
    <w:pPr>
      <w:tabs>
        <w:tab w:val="left" w:pos="5822"/>
      </w:tabs>
      <w:spacing w:before="720" w:after="720"/>
      <w:ind w:left="5102" w:hanging="3118"/>
      <w:contextualSpacing/>
      <w:jc w:val="left"/>
    </w:pPr>
    <w:rPr>
      <w:b/>
      <w:smallCaps/>
    </w:rPr>
  </w:style>
  <w:style w:type="paragraph" w:customStyle="1" w:styleId="NoteTitle">
    <w:name w:val="NoteTitle"/>
    <w:basedOn w:val="Normlny"/>
    <w:uiPriority w:val="2"/>
    <w:pPr>
      <w:spacing w:before="720" w:after="360"/>
      <w:contextualSpacing/>
      <w:jc w:val="center"/>
    </w:pPr>
    <w:rPr>
      <w:b/>
      <w:smallCaps/>
    </w:rPr>
  </w:style>
  <w:style w:type="paragraph" w:customStyle="1" w:styleId="NumPar1">
    <w:name w:val="NumPar 1"/>
    <w:basedOn w:val="Nadpis1"/>
    <w:uiPriority w:val="1"/>
    <w:qFormat/>
    <w:pPr>
      <w:keepNext w:val="0"/>
      <w:spacing w:before="0"/>
      <w:outlineLvl w:val="9"/>
    </w:pPr>
    <w:rPr>
      <w:b w:val="0"/>
      <w:smallCaps w:val="0"/>
    </w:rPr>
  </w:style>
  <w:style w:type="paragraph" w:customStyle="1" w:styleId="NumPar2">
    <w:name w:val="NumPar 2"/>
    <w:basedOn w:val="Nadpis2"/>
    <w:uiPriority w:val="1"/>
    <w:qFormat/>
    <w:pPr>
      <w:keepNext w:val="0"/>
      <w:outlineLvl w:val="9"/>
    </w:pPr>
    <w:rPr>
      <w:b w:val="0"/>
    </w:rPr>
  </w:style>
  <w:style w:type="paragraph" w:customStyle="1" w:styleId="NumPar3">
    <w:name w:val="NumPar 3"/>
    <w:basedOn w:val="Nadpis3"/>
    <w:uiPriority w:val="1"/>
    <w:qFormat/>
    <w:pPr>
      <w:keepNext w:val="0"/>
      <w:outlineLvl w:val="9"/>
    </w:pPr>
    <w:rPr>
      <w:i w:val="0"/>
    </w:rPr>
  </w:style>
  <w:style w:type="paragraph" w:customStyle="1" w:styleId="NumPar4">
    <w:name w:val="NumPar 4"/>
    <w:basedOn w:val="Nadpis4"/>
    <w:uiPriority w:val="1"/>
    <w:qFormat/>
    <w:pPr>
      <w:keepNext w:val="0"/>
      <w:outlineLvl w:val="9"/>
    </w:pPr>
  </w:style>
  <w:style w:type="paragraph" w:customStyle="1" w:styleId="Participants">
    <w:name w:val="Participants"/>
    <w:basedOn w:val="Normlny"/>
    <w:uiPriority w:val="2"/>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lny"/>
    <w:uiPriority w:val="1"/>
    <w:pPr>
      <w:ind w:left="5102" w:right="-567"/>
      <w:contextualSpacing/>
      <w:jc w:val="left"/>
    </w:pPr>
    <w:rPr>
      <w:sz w:val="20"/>
    </w:rPr>
  </w:style>
  <w:style w:type="paragraph" w:customStyle="1" w:styleId="Releasable">
    <w:name w:val="Releasable"/>
    <w:basedOn w:val="Normlny"/>
    <w:semiHidden/>
    <w:pPr>
      <w:spacing w:after="0"/>
      <w:jc w:val="center"/>
    </w:pPr>
    <w:rPr>
      <w:b/>
      <w:caps/>
      <w:sz w:val="32"/>
    </w:rPr>
  </w:style>
  <w:style w:type="paragraph" w:customStyle="1" w:styleId="RUE">
    <w:name w:val="RUE"/>
    <w:basedOn w:val="Normlny"/>
    <w:semiHidden/>
    <w:pPr>
      <w:spacing w:after="0"/>
      <w:jc w:val="center"/>
    </w:pPr>
    <w:rPr>
      <w:b/>
      <w:caps/>
      <w:sz w:val="32"/>
      <w:bdr w:val="single" w:sz="18" w:space="0" w:color="auto"/>
    </w:rPr>
  </w:style>
  <w:style w:type="paragraph" w:customStyle="1" w:styleId="SecretUE">
    <w:name w:val="Secret UE"/>
    <w:basedOn w:val="Normlny"/>
    <w:semiHidden/>
    <w:pPr>
      <w:spacing w:after="0"/>
      <w:jc w:val="center"/>
    </w:pPr>
    <w:rPr>
      <w:b/>
      <w:caps/>
      <w:color w:val="FF0000"/>
      <w:sz w:val="32"/>
      <w:bdr w:val="single" w:sz="18" w:space="0" w:color="FF0000"/>
    </w:rPr>
  </w:style>
  <w:style w:type="paragraph" w:styleId="Podpis">
    <w:name w:val="Signature"/>
    <w:basedOn w:val="Normlny"/>
    <w:uiPriority w:val="2"/>
    <w:pPr>
      <w:spacing w:before="1200" w:after="0"/>
      <w:ind w:left="5102"/>
      <w:jc w:val="center"/>
    </w:pPr>
  </w:style>
  <w:style w:type="paragraph" w:customStyle="1" w:styleId="SignatureL">
    <w:name w:val="SignatureL"/>
    <w:basedOn w:val="Normlny"/>
    <w:uiPriority w:val="2"/>
    <w:pPr>
      <w:spacing w:before="1200" w:after="0"/>
      <w:jc w:val="left"/>
    </w:pPr>
  </w:style>
  <w:style w:type="paragraph" w:customStyle="1" w:styleId="Subject">
    <w:name w:val="Subject"/>
    <w:basedOn w:val="Normlny"/>
    <w:uiPriority w:val="2"/>
    <w:pPr>
      <w:spacing w:after="480"/>
      <w:ind w:left="1191" w:hanging="1191"/>
      <w:contextualSpacing/>
      <w:jc w:val="left"/>
    </w:pPr>
    <w:rPr>
      <w:b/>
    </w:rPr>
  </w:style>
  <w:style w:type="paragraph" w:customStyle="1" w:styleId="TableListBullet">
    <w:name w:val="Table List Bullet"/>
    <w:basedOn w:val="TableText"/>
    <w:uiPriority w:val="1"/>
    <w:pPr>
      <w:numPr>
        <w:numId w:val="20"/>
      </w:numPr>
    </w:pPr>
  </w:style>
  <w:style w:type="paragraph" w:customStyle="1" w:styleId="TableListBulletLevel2">
    <w:name w:val="Table List Bullet (Level 2)"/>
    <w:basedOn w:val="TableText"/>
    <w:uiPriority w:val="1"/>
    <w:pPr>
      <w:numPr>
        <w:ilvl w:val="1"/>
        <w:numId w:val="20"/>
      </w:numPr>
    </w:pPr>
  </w:style>
  <w:style w:type="paragraph" w:customStyle="1" w:styleId="TableListBulletLevel3">
    <w:name w:val="Table List Bullet (Level 3)"/>
    <w:basedOn w:val="TableText"/>
    <w:uiPriority w:val="1"/>
    <w:semiHidden/>
    <w:unhideWhenUsed/>
    <w:pPr>
      <w:numPr>
        <w:ilvl w:val="2"/>
        <w:numId w:val="20"/>
      </w:numPr>
    </w:pPr>
  </w:style>
  <w:style w:type="paragraph" w:customStyle="1" w:styleId="TableListBulletLevel4">
    <w:name w:val="Table List Bullet (Level 4)"/>
    <w:basedOn w:val="TableText"/>
    <w:uiPriority w:val="1"/>
    <w:semiHidden/>
    <w:unhideWhenUsed/>
    <w:pPr>
      <w:numPr>
        <w:ilvl w:val="3"/>
        <w:numId w:val="20"/>
      </w:numPr>
    </w:pPr>
  </w:style>
  <w:style w:type="paragraph" w:customStyle="1" w:styleId="TableListDash">
    <w:name w:val="Table List Dash"/>
    <w:basedOn w:val="TableText"/>
    <w:uiPriority w:val="1"/>
    <w:pPr>
      <w:numPr>
        <w:numId w:val="21"/>
      </w:numPr>
    </w:pPr>
  </w:style>
  <w:style w:type="paragraph" w:customStyle="1" w:styleId="TableListDashLevel2">
    <w:name w:val="Table List Dash (Level 2)"/>
    <w:basedOn w:val="TableText"/>
    <w:uiPriority w:val="1"/>
    <w:pPr>
      <w:numPr>
        <w:ilvl w:val="1"/>
        <w:numId w:val="21"/>
      </w:numPr>
    </w:pPr>
  </w:style>
  <w:style w:type="paragraph" w:customStyle="1" w:styleId="TableListDashLevel3">
    <w:name w:val="Table List Dash (Level 3)"/>
    <w:basedOn w:val="TableText"/>
    <w:uiPriority w:val="1"/>
    <w:semiHidden/>
    <w:unhideWhenUsed/>
    <w:pPr>
      <w:numPr>
        <w:ilvl w:val="2"/>
        <w:numId w:val="21"/>
      </w:numPr>
    </w:pPr>
  </w:style>
  <w:style w:type="paragraph" w:customStyle="1" w:styleId="TableListDashLevel4">
    <w:name w:val="Table List Dash (Level 4)"/>
    <w:basedOn w:val="TableText"/>
    <w:uiPriority w:val="1"/>
    <w:semiHidden/>
    <w:unhideWhenUsed/>
    <w:pPr>
      <w:numPr>
        <w:ilvl w:val="3"/>
        <w:numId w:val="21"/>
      </w:numPr>
    </w:pPr>
  </w:style>
  <w:style w:type="paragraph" w:customStyle="1" w:styleId="TableListNumber">
    <w:name w:val="Table List Number"/>
    <w:basedOn w:val="TableText"/>
    <w:uiPriority w:val="1"/>
    <w:pPr>
      <w:numPr>
        <w:numId w:val="22"/>
      </w:numPr>
    </w:pPr>
  </w:style>
  <w:style w:type="paragraph" w:customStyle="1" w:styleId="TableListNumberLevel2">
    <w:name w:val="Table List Number (Level 2)"/>
    <w:basedOn w:val="TableText"/>
    <w:uiPriority w:val="1"/>
    <w:pPr>
      <w:numPr>
        <w:ilvl w:val="1"/>
        <w:numId w:val="22"/>
      </w:numPr>
    </w:pPr>
  </w:style>
  <w:style w:type="paragraph" w:customStyle="1" w:styleId="TableListNumberLevel3">
    <w:name w:val="Table List Number (Level 3)"/>
    <w:basedOn w:val="TableText"/>
    <w:uiPriority w:val="1"/>
    <w:semiHidden/>
    <w:unhideWhenUsed/>
    <w:pPr>
      <w:numPr>
        <w:ilvl w:val="2"/>
        <w:numId w:val="22"/>
      </w:numPr>
    </w:pPr>
  </w:style>
  <w:style w:type="paragraph" w:customStyle="1" w:styleId="TableListNumberLevel4">
    <w:name w:val="Table List Number (Level 4)"/>
    <w:basedOn w:val="TableText"/>
    <w:uiPriority w:val="1"/>
    <w:semiHidden/>
    <w:unhideWhenUsed/>
    <w:pPr>
      <w:numPr>
        <w:ilvl w:val="3"/>
        <w:numId w:val="22"/>
      </w:numPr>
    </w:pPr>
  </w:style>
  <w:style w:type="paragraph" w:customStyle="1" w:styleId="TableSource">
    <w:name w:val="Table Source"/>
    <w:basedOn w:val="Normlny"/>
    <w:next w:val="Normlny"/>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lny"/>
    <w:uiPriority w:val="1"/>
    <w:qFormat/>
    <w:pPr>
      <w:spacing w:before="60" w:after="60"/>
      <w:jc w:val="left"/>
    </w:pPr>
  </w:style>
  <w:style w:type="paragraph" w:customStyle="1" w:styleId="TableTitle">
    <w:name w:val="Table Title"/>
    <w:basedOn w:val="Normlny"/>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lny"/>
    <w:uiPriority w:val="1"/>
    <w:qFormat/>
    <w:pPr>
      <w:ind w:left="482"/>
    </w:pPr>
  </w:style>
  <w:style w:type="paragraph" w:customStyle="1" w:styleId="Text2">
    <w:name w:val="Text 2"/>
    <w:basedOn w:val="Normlny"/>
    <w:qFormat/>
    <w:pPr>
      <w:ind w:left="1077"/>
    </w:pPr>
  </w:style>
  <w:style w:type="paragraph" w:customStyle="1" w:styleId="Text3">
    <w:name w:val="Text 3"/>
    <w:basedOn w:val="Normlny"/>
    <w:uiPriority w:val="1"/>
    <w:qFormat/>
    <w:pPr>
      <w:ind w:left="1916"/>
    </w:pPr>
  </w:style>
  <w:style w:type="paragraph" w:customStyle="1" w:styleId="Text4">
    <w:name w:val="Text 4"/>
    <w:basedOn w:val="Normlny"/>
    <w:uiPriority w:val="1"/>
    <w:qFormat/>
    <w:pPr>
      <w:ind w:left="2880"/>
    </w:pPr>
  </w:style>
  <w:style w:type="paragraph" w:styleId="Nzov">
    <w:name w:val="Title"/>
    <w:basedOn w:val="Normlny"/>
    <w:next w:val="Normlny"/>
    <w:uiPriority w:val="1"/>
    <w:qFormat/>
    <w:pPr>
      <w:spacing w:after="480"/>
      <w:jc w:val="center"/>
    </w:pPr>
    <w:rPr>
      <w:b/>
      <w:kern w:val="28"/>
      <w:sz w:val="48"/>
    </w:rPr>
  </w:style>
  <w:style w:type="paragraph" w:styleId="Obsah1">
    <w:name w:val="toc 1"/>
    <w:basedOn w:val="Normlny"/>
    <w:next w:val="Normlny"/>
    <w:semiHidden/>
    <w:pPr>
      <w:tabs>
        <w:tab w:val="right" w:leader="dot" w:pos="8640"/>
      </w:tabs>
      <w:spacing w:before="120" w:after="120"/>
      <w:ind w:left="482" w:right="720" w:hanging="482"/>
    </w:pPr>
  </w:style>
  <w:style w:type="paragraph" w:styleId="Obsah2">
    <w:name w:val="toc 2"/>
    <w:basedOn w:val="Normlny"/>
    <w:next w:val="Normlny"/>
    <w:semiHidden/>
    <w:pPr>
      <w:tabs>
        <w:tab w:val="right" w:leader="dot" w:pos="8640"/>
      </w:tabs>
      <w:spacing w:before="60" w:after="60"/>
      <w:ind w:left="1077" w:right="720" w:hanging="595"/>
    </w:pPr>
    <w:rPr>
      <w:noProof/>
    </w:rPr>
  </w:style>
  <w:style w:type="paragraph" w:styleId="Obsah3">
    <w:name w:val="toc 3"/>
    <w:basedOn w:val="Normlny"/>
    <w:next w:val="Normlny"/>
    <w:semiHidden/>
    <w:pPr>
      <w:tabs>
        <w:tab w:val="right" w:leader="dot" w:pos="8640"/>
      </w:tabs>
      <w:spacing w:before="60" w:after="60"/>
      <w:ind w:left="1916" w:right="720" w:hanging="839"/>
    </w:pPr>
  </w:style>
  <w:style w:type="paragraph" w:styleId="Obsah4">
    <w:name w:val="toc 4"/>
    <w:basedOn w:val="Normlny"/>
    <w:next w:val="Normlny"/>
    <w:semiHidden/>
    <w:pPr>
      <w:tabs>
        <w:tab w:val="right" w:leader="dot" w:pos="8640"/>
      </w:tabs>
      <w:spacing w:before="60" w:after="60"/>
      <w:ind w:left="2880" w:right="720" w:hanging="964"/>
    </w:pPr>
    <w:rPr>
      <w:noProof/>
    </w:rPr>
  </w:style>
  <w:style w:type="paragraph" w:styleId="Obsah5">
    <w:name w:val="toc 5"/>
    <w:basedOn w:val="Normlny"/>
    <w:next w:val="Normlny"/>
    <w:semiHidden/>
    <w:pPr>
      <w:tabs>
        <w:tab w:val="right" w:leader="dot" w:pos="8640"/>
      </w:tabs>
      <w:spacing w:before="240" w:after="120"/>
      <w:ind w:right="720"/>
    </w:pPr>
    <w:rPr>
      <w:caps/>
    </w:rPr>
  </w:style>
  <w:style w:type="paragraph" w:styleId="Obsah6">
    <w:name w:val="toc 6"/>
    <w:basedOn w:val="Normlny"/>
    <w:next w:val="Normlny"/>
    <w:semiHidden/>
    <w:pPr>
      <w:tabs>
        <w:tab w:val="right" w:leader="dot" w:pos="8640"/>
        <w:tab w:val="left" w:pos="2880"/>
      </w:tabs>
      <w:spacing w:before="120" w:after="120"/>
      <w:ind w:left="1916" w:right="720" w:hanging="1916"/>
    </w:pPr>
    <w:rPr>
      <w:caps/>
    </w:rPr>
  </w:style>
  <w:style w:type="paragraph" w:styleId="Obsah7">
    <w:name w:val="toc 7"/>
    <w:basedOn w:val="Normlny"/>
    <w:next w:val="Normlny"/>
    <w:semiHidden/>
    <w:pPr>
      <w:tabs>
        <w:tab w:val="left" w:pos="3685"/>
      </w:tabs>
      <w:spacing w:after="0"/>
      <w:ind w:left="2880" w:hanging="1349"/>
    </w:pPr>
  </w:style>
  <w:style w:type="paragraph" w:styleId="Obsah8">
    <w:name w:val="toc 8"/>
    <w:basedOn w:val="Normlny"/>
    <w:next w:val="Normlny"/>
    <w:semiHidden/>
    <w:pPr>
      <w:tabs>
        <w:tab w:val="right" w:leader="dot" w:pos="8640"/>
      </w:tabs>
    </w:pPr>
  </w:style>
  <w:style w:type="paragraph" w:styleId="Obsah9">
    <w:name w:val="toc 9"/>
    <w:basedOn w:val="Normlny"/>
    <w:next w:val="Normlny"/>
    <w:semiHidden/>
    <w:pPr>
      <w:tabs>
        <w:tab w:val="right" w:leader="dot" w:pos="8640"/>
      </w:tabs>
    </w:pPr>
  </w:style>
  <w:style w:type="paragraph" w:styleId="Hlavikaobsahu">
    <w:name w:val="TOC Heading"/>
    <w:basedOn w:val="Normlny"/>
    <w:next w:val="Normlny"/>
    <w:semiHidden/>
    <w:pPr>
      <w:spacing w:before="240"/>
      <w:jc w:val="center"/>
    </w:pPr>
    <w:rPr>
      <w:rFonts w:ascii="Times New Roman Bold" w:hAnsi="Times New Roman Bold"/>
      <w:b/>
      <w:caps/>
    </w:rPr>
  </w:style>
  <w:style w:type="paragraph" w:customStyle="1" w:styleId="TrsSecretUE">
    <w:name w:val="Très Secret UE"/>
    <w:basedOn w:val="Normlny"/>
    <w:semiHidden/>
    <w:pPr>
      <w:spacing w:after="0"/>
      <w:jc w:val="center"/>
    </w:pPr>
    <w:rPr>
      <w:b/>
      <w:caps/>
      <w:color w:val="FF0000"/>
      <w:sz w:val="32"/>
      <w:bdr w:val="single" w:sz="18" w:space="0" w:color="FF0000"/>
    </w:rPr>
  </w:style>
  <w:style w:type="paragraph" w:customStyle="1" w:styleId="YReferences">
    <w:name w:val="YReferences"/>
    <w:basedOn w:val="Normlny"/>
    <w:uiPriority w:val="2"/>
    <w:pPr>
      <w:spacing w:after="480"/>
      <w:ind w:left="1191" w:hanging="1191"/>
      <w:contextualSpacing/>
    </w:pPr>
  </w:style>
  <w:style w:type="paragraph" w:customStyle="1" w:styleId="ZCom">
    <w:name w:val="Z_Com"/>
    <w:basedOn w:val="Normlny"/>
    <w:next w:val="Normlny"/>
    <w:uiPriority w:val="2"/>
    <w:pPr>
      <w:widowControl w:val="0"/>
      <w:spacing w:before="90" w:after="0"/>
      <w:ind w:right="85"/>
      <w:jc w:val="left"/>
    </w:pPr>
  </w:style>
  <w:style w:type="paragraph" w:customStyle="1" w:styleId="ZDGName">
    <w:name w:val="Z_DGName"/>
    <w:basedOn w:val="Normlny"/>
    <w:uiPriority w:val="2"/>
    <w:pPr>
      <w:widowControl w:val="0"/>
      <w:spacing w:after="0"/>
      <w:ind w:right="85"/>
      <w:jc w:val="left"/>
    </w:pPr>
    <w:rPr>
      <w:sz w:val="16"/>
    </w:rPr>
  </w:style>
  <w:style w:type="paragraph" w:customStyle="1" w:styleId="ZFlag">
    <w:name w:val="Z_Flag"/>
    <w:basedOn w:val="Normlny"/>
    <w:next w:val="Normlny"/>
    <w:uiPriority w:val="2"/>
    <w:pPr>
      <w:widowControl w:val="0"/>
      <w:spacing w:after="0"/>
      <w:ind w:right="85"/>
    </w:pPr>
  </w:style>
  <w:style w:type="paragraph" w:styleId="Hlavika">
    <w:name w:val="header"/>
    <w:basedOn w:val="Normlny"/>
    <w:link w:val="HlavikaChar"/>
    <w:uiPriority w:val="2"/>
    <w:pPr>
      <w:tabs>
        <w:tab w:val="center" w:pos="4150"/>
        <w:tab w:val="right" w:pos="8306"/>
      </w:tabs>
      <w:spacing w:after="0"/>
    </w:pPr>
  </w:style>
  <w:style w:type="character" w:customStyle="1" w:styleId="HlavikaChar">
    <w:name w:val="Hlavička Char"/>
    <w:basedOn w:val="Predvolenpsmoodseku"/>
    <w:link w:val="Hlavika"/>
    <w:uiPriority w:val="2"/>
    <w:rPr>
      <w:sz w:val="24"/>
    </w:rPr>
  </w:style>
  <w:style w:type="table" w:customStyle="1" w:styleId="EurolookClassicBlue">
    <w:name w:val="Eurolook Classic Blue"/>
    <w:basedOn w:val="Normlnatabuka"/>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Normlnatabuka"/>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Normlnatabuka"/>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Normlnatabuka"/>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Normlnatabuka"/>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Normlnatabuka"/>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Normlnatabuka"/>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Normlnatabuka"/>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Normlnatabuka"/>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Normlnatabuka"/>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Normlnatabuka"/>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Normlnatabuka"/>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Normlnatabuka"/>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Normlnatabuka"/>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Normlnatabuka"/>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Normlnatabuka"/>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Normlnatabuka"/>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Normlnatabuka"/>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Normlnatabuka"/>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Normlnatabuka"/>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Normlnatabuka"/>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Normlnatabuka"/>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Normlnatabuka"/>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Normlnatabuka"/>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Normlnatabuka"/>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Normlnatabuka"/>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Normlnatabuka"/>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Normlnatabuka"/>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Normlnatabuka"/>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Normlnatabuka"/>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Normlnatabuka"/>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Normlnatabuka"/>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Normlnatabuka"/>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Normlnatabuka"/>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Normlnatabuka"/>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Normlnatabuka"/>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Normlnatabuka"/>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Normlnatabuka"/>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Normlnatabuka"/>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Normlnatabuka"/>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Normlnatabuka"/>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Normlnatabuka"/>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Normlnatabuka"/>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Normlnatabuka"/>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Normlnatabuka"/>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Normlnatabuka"/>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Normlnatabuka"/>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Normlnatabuka"/>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Normlnatabuka"/>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Normlnatabuka"/>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Normlnatabuka"/>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Normlnatabuka"/>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Normlnatabuka"/>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Normlnatabuka"/>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Normlnatabuka"/>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Normlnatabuka"/>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Normlnatabuka"/>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Normlnatabuka"/>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Normlnatabuka"/>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Normlnatabuka"/>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unhideWhenUsed/>
    <w:tblPr>
      <w:tblInd w:w="482" w:type="dxa"/>
    </w:tblPr>
    <w:tblStylePr w:type="firstRow">
      <w:rPr>
        <w:b/>
      </w:rPr>
      <w:tblPr/>
      <w:trPr>
        <w:cantSplit/>
        <w:tblHeader/>
      </w:trPr>
    </w:tblStylePr>
  </w:style>
  <w:style w:type="table" w:customStyle="1" w:styleId="EurolookTable2">
    <w:name w:val="Eurolook Table 2"/>
    <w:basedOn w:val="EurolookTable"/>
    <w:semiHidden/>
    <w:unhideWhenUsed/>
    <w:tblPr>
      <w:tblInd w:w="1077" w:type="dxa"/>
    </w:tblPr>
    <w:tblStylePr w:type="firstRow">
      <w:rPr>
        <w:b/>
      </w:rPr>
      <w:tblPr/>
      <w:trPr>
        <w:cantSplit/>
        <w:tblHeader/>
      </w:trPr>
    </w:tblStylePr>
  </w:style>
  <w:style w:type="table" w:customStyle="1" w:styleId="EurolookTable3">
    <w:name w:val="Eurolook Table 3"/>
    <w:basedOn w:val="EurolookTable"/>
    <w:semiHidden/>
    <w:unhideWhenUsed/>
    <w:tblPr>
      <w:tblInd w:w="1916" w:type="dxa"/>
    </w:tblPr>
    <w:tblStylePr w:type="firstRow">
      <w:rPr>
        <w:b/>
      </w:rPr>
      <w:tblPr/>
      <w:trPr>
        <w:cantSplit/>
        <w:tblHeader/>
      </w:trPr>
    </w:tblStylePr>
  </w:style>
  <w:style w:type="table" w:customStyle="1" w:styleId="EurolookTable4">
    <w:name w:val="Eurolook Table 4"/>
    <w:basedOn w:val="EurolookTable"/>
    <w:semiHidden/>
    <w:unhideWhenUsed/>
    <w:tblPr>
      <w:tblInd w:w="2880"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Mriekatabuky">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Normlnatabuka"/>
    <w:semiHidden/>
    <w:tblPr>
      <w:tblCellMar>
        <w:left w:w="0" w:type="dxa"/>
        <w:bottom w:w="340" w:type="dxa"/>
        <w:right w:w="0" w:type="dxa"/>
      </w:tblCellMar>
    </w:tblPr>
  </w:style>
  <w:style w:type="paragraph" w:styleId="Zoznamsodrkami5">
    <w:name w:val="List Bullet 5"/>
    <w:basedOn w:val="Normlny"/>
    <w:semiHidden/>
    <w:locked/>
    <w:pPr>
      <w:numPr>
        <w:numId w:val="23"/>
      </w:numPr>
      <w:contextualSpacing/>
    </w:pPr>
  </w:style>
  <w:style w:type="paragraph" w:styleId="slovanzoznam5">
    <w:name w:val="List Number 5"/>
    <w:basedOn w:val="Normlny"/>
    <w:semiHidden/>
    <w:locked/>
    <w:pPr>
      <w:numPr>
        <w:numId w:val="24"/>
      </w:numPr>
      <w:contextualSpacing/>
    </w:pPr>
  </w:style>
  <w:style w:type="paragraph" w:styleId="Odsekzoznamu">
    <w:name w:val="List Paragraph"/>
    <w:basedOn w:val="Normlny"/>
    <w:uiPriority w:val="34"/>
    <w:qFormat/>
    <w:locked/>
    <w:pPr>
      <w:ind w:left="720"/>
      <w:contextualSpacing/>
    </w:pPr>
  </w:style>
  <w:style w:type="character" w:styleId="Hypertextovprepojenie">
    <w:name w:val="Hyperlink"/>
    <w:basedOn w:val="Predvolenpsmoodseku"/>
    <w:semiHidden/>
    <w:locked/>
    <w:rPr>
      <w:color w:val="0563C1" w:themeColor="hyperlink"/>
      <w:u w:val="single"/>
    </w:rPr>
  </w:style>
  <w:style w:type="character" w:styleId="Nevyrieenzmienka">
    <w:name w:val="Unresolved Mention"/>
    <w:basedOn w:val="Predvolenpsmoodseku"/>
    <w:semiHidden/>
    <w:locked/>
    <w:rPr>
      <w:color w:val="605E5C"/>
      <w:shd w:val="clear" w:color="auto" w:fill="E1DFDD"/>
    </w:rPr>
  </w:style>
  <w:style w:type="paragraph" w:styleId="Revzia">
    <w:name w:val="Revision"/>
    <w:hidden/>
    <w:semiHidden/>
    <w:locked/>
  </w:style>
  <w:style w:type="character" w:styleId="Odkaznakomentr">
    <w:name w:val="annotation reference"/>
    <w:basedOn w:val="Predvolenpsmoodseku"/>
    <w:locked/>
    <w:rPr>
      <w:sz w:val="16"/>
      <w:szCs w:val="16"/>
    </w:rPr>
  </w:style>
  <w:style w:type="paragraph" w:styleId="Textkomentra">
    <w:name w:val="annotation text"/>
    <w:basedOn w:val="Normlny"/>
    <w:link w:val="TextkomentraChar"/>
    <w:uiPriority w:val="99"/>
    <w:locked/>
    <w:rPr>
      <w:sz w:val="20"/>
    </w:rPr>
  </w:style>
  <w:style w:type="character" w:customStyle="1" w:styleId="TextkomentraChar">
    <w:name w:val="Text komentára Char"/>
    <w:basedOn w:val="Predvolenpsmoodseku"/>
    <w:link w:val="Textkomentra"/>
    <w:uiPriority w:val="99"/>
    <w:rPr>
      <w:sz w:val="20"/>
    </w:rPr>
  </w:style>
  <w:style w:type="paragraph" w:styleId="Predmetkomentra">
    <w:name w:val="annotation subject"/>
    <w:basedOn w:val="Textkomentra"/>
    <w:next w:val="Textkomentra"/>
    <w:link w:val="PredmetkomentraChar"/>
    <w:semiHidden/>
    <w:locked/>
    <w:rPr>
      <w:b/>
      <w:bCs/>
    </w:rPr>
  </w:style>
  <w:style w:type="character" w:customStyle="1" w:styleId="PredmetkomentraChar">
    <w:name w:val="Predmet komentára Char"/>
    <w:basedOn w:val="TextkomentraChar"/>
    <w:link w:val="Predmetkomentra"/>
    <w:semiHidden/>
    <w:rPr>
      <w:b/>
      <w:bCs/>
      <w:sz w:val="20"/>
    </w:rPr>
  </w:style>
  <w:style w:type="character" w:styleId="Odkaznapoznmkupodiarou">
    <w:name w:val="footnote reference"/>
    <w:aliases w:val="Footnote symbol,Times 10 Point,Exposant 3 Point,Appel note de bas de p,Footnote Reference Superscript,PBO Footnote Reference,FR + (Complex) Arial,(Latin) 9 pt,(Complex) 10 pt + (Compl...,Voetnootverwijzing,Nota"/>
    <w:basedOn w:val="Predvolenpsmoodseku"/>
    <w:link w:val="Footnotenumber"/>
    <w:uiPriority w:val="99"/>
    <w:qFormat/>
    <w:locked/>
    <w:rPr>
      <w:vertAlign w:val="superscript"/>
    </w:rPr>
  </w:style>
  <w:style w:type="character" w:styleId="PouitHypertextovPrepojenie">
    <w:name w:val="FollowedHyperlink"/>
    <w:basedOn w:val="Predvolenpsmoodseku"/>
    <w:semiHidden/>
    <w:locked/>
    <w:rPr>
      <w:color w:val="954F72" w:themeColor="followedHyperlink"/>
      <w:u w:val="single"/>
    </w:rPr>
  </w:style>
  <w:style w:type="paragraph" w:customStyle="1" w:styleId="Default">
    <w:name w:val="Default"/>
    <w:pPr>
      <w:autoSpaceDE w:val="0"/>
      <w:autoSpaceDN w:val="0"/>
      <w:adjustRightInd w:val="0"/>
    </w:pPr>
    <w:rPr>
      <w:rFonts w:ascii="Verdana" w:hAnsi="Verdana" w:cs="Verdana"/>
      <w:color w:val="000000"/>
      <w:szCs w:val="24"/>
    </w:rPr>
  </w:style>
  <w:style w:type="paragraph" w:styleId="Textbubliny">
    <w:name w:val="Balloon Text"/>
    <w:basedOn w:val="Normlny"/>
    <w:link w:val="TextbublinyChar"/>
    <w:semiHidden/>
    <w:locked/>
    <w:pPr>
      <w:spacing w:after="0"/>
    </w:pPr>
    <w:rPr>
      <w:rFonts w:ascii="Segoe UI" w:hAnsi="Segoe UI" w:cs="Segoe UI"/>
      <w:sz w:val="18"/>
      <w:szCs w:val="18"/>
    </w:rPr>
  </w:style>
  <w:style w:type="character" w:customStyle="1" w:styleId="TextbublinyChar">
    <w:name w:val="Text bubliny Char"/>
    <w:basedOn w:val="Predvolenpsmoodseku"/>
    <w:link w:val="Textbubliny"/>
    <w:semiHidden/>
    <w:rPr>
      <w:rFonts w:ascii="Segoe UI" w:hAnsi="Segoe UI" w:cs="Segoe UI"/>
      <w:sz w:val="18"/>
      <w:szCs w:val="18"/>
    </w:rPr>
  </w:style>
  <w:style w:type="paragraph" w:styleId="Normlnywebov">
    <w:name w:val="Normal (Web)"/>
    <w:basedOn w:val="Normlny"/>
    <w:uiPriority w:val="99"/>
    <w:unhideWhenUsed/>
    <w:locked/>
    <w:pPr>
      <w:spacing w:before="100" w:beforeAutospacing="1" w:after="100" w:afterAutospacing="1"/>
      <w:jc w:val="left"/>
    </w:pPr>
    <w:rPr>
      <w:szCs w:val="24"/>
      <w:lang w:eastAsia="en-GB"/>
    </w:rPr>
  </w:style>
  <w:style w:type="character" w:styleId="Vrazn">
    <w:name w:val="Strong"/>
    <w:basedOn w:val="Predvolenpsmoodseku"/>
    <w:uiPriority w:val="22"/>
    <w:qFormat/>
    <w:locked/>
    <w:rPr>
      <w:b/>
      <w:bCs/>
    </w:rPr>
  </w:style>
  <w:style w:type="character" w:customStyle="1" w:styleId="TextpoznmkypodiarouChar">
    <w:name w:val="Text poznámky pod čiarou Char"/>
    <w:aliases w:val="Schriftart: 9 pt Char,Schriftart: 10 pt Char,Schriftart: 8 pt Char,WB-Fußnotentext Char,fn Char,footnote text Char,Footnotes Char,Footnote ak Char,FoodNote Char,ft Char,Footnote text Char,Footnote Char,Fußnote Char"/>
    <w:basedOn w:val="Predvolenpsmoodseku"/>
    <w:link w:val="Textpoznmkypodiarou"/>
    <w:uiPriority w:val="99"/>
    <w:qFormat/>
    <w:locked/>
    <w:rPr>
      <w:sz w:val="20"/>
    </w:rPr>
  </w:style>
  <w:style w:type="paragraph" w:customStyle="1" w:styleId="Footnotenumber">
    <w:name w:val="Footnote number"/>
    <w:aliases w:val="fr"/>
    <w:basedOn w:val="Normlny"/>
    <w:link w:val="Odkaznapoznmkupodiarou"/>
    <w:uiPriority w:val="99"/>
    <w:pPr>
      <w:spacing w:after="160" w:line="240" w:lineRule="exact"/>
      <w:jc w:val="left"/>
    </w:pPr>
    <w:rPr>
      <w:vertAlign w:val="superscript"/>
    </w:rPr>
  </w:style>
  <w:style w:type="paragraph" w:customStyle="1" w:styleId="yiv2808125318msolistparagraph">
    <w:name w:val="yiv2808125318msolistparagraph"/>
    <w:basedOn w:val="Normlny"/>
    <w:pPr>
      <w:spacing w:before="100" w:beforeAutospacing="1" w:after="100" w:afterAutospacing="1"/>
      <w:jc w:val="left"/>
    </w:pPr>
    <w:rPr>
      <w:szCs w:val="24"/>
      <w:lang w:eastAsia="en-GB"/>
    </w:rPr>
  </w:style>
  <w:style w:type="paragraph" w:customStyle="1" w:styleId="yiv2808125318msonormal">
    <w:name w:val="yiv2808125318msonormal"/>
    <w:basedOn w:val="Normlny"/>
    <w:pPr>
      <w:spacing w:before="100" w:beforeAutospacing="1" w:after="100" w:afterAutospacing="1"/>
      <w:jc w:val="left"/>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98419">
      <w:bodyDiv w:val="1"/>
      <w:marLeft w:val="0"/>
      <w:marRight w:val="0"/>
      <w:marTop w:val="0"/>
      <w:marBottom w:val="0"/>
      <w:divBdr>
        <w:top w:val="none" w:sz="0" w:space="0" w:color="auto"/>
        <w:left w:val="none" w:sz="0" w:space="0" w:color="auto"/>
        <w:bottom w:val="none" w:sz="0" w:space="0" w:color="auto"/>
        <w:right w:val="none" w:sz="0" w:space="0" w:color="auto"/>
      </w:divBdr>
    </w:div>
    <w:div w:id="77288588">
      <w:bodyDiv w:val="1"/>
      <w:marLeft w:val="0"/>
      <w:marRight w:val="0"/>
      <w:marTop w:val="0"/>
      <w:marBottom w:val="0"/>
      <w:divBdr>
        <w:top w:val="none" w:sz="0" w:space="0" w:color="auto"/>
        <w:left w:val="none" w:sz="0" w:space="0" w:color="auto"/>
        <w:bottom w:val="none" w:sz="0" w:space="0" w:color="auto"/>
        <w:right w:val="none" w:sz="0" w:space="0" w:color="auto"/>
      </w:divBdr>
    </w:div>
    <w:div w:id="144277074">
      <w:bodyDiv w:val="1"/>
      <w:marLeft w:val="0"/>
      <w:marRight w:val="0"/>
      <w:marTop w:val="0"/>
      <w:marBottom w:val="0"/>
      <w:divBdr>
        <w:top w:val="none" w:sz="0" w:space="0" w:color="auto"/>
        <w:left w:val="none" w:sz="0" w:space="0" w:color="auto"/>
        <w:bottom w:val="none" w:sz="0" w:space="0" w:color="auto"/>
        <w:right w:val="none" w:sz="0" w:space="0" w:color="auto"/>
      </w:divBdr>
    </w:div>
    <w:div w:id="203639708">
      <w:bodyDiv w:val="1"/>
      <w:marLeft w:val="0"/>
      <w:marRight w:val="0"/>
      <w:marTop w:val="0"/>
      <w:marBottom w:val="0"/>
      <w:divBdr>
        <w:top w:val="none" w:sz="0" w:space="0" w:color="auto"/>
        <w:left w:val="none" w:sz="0" w:space="0" w:color="auto"/>
        <w:bottom w:val="none" w:sz="0" w:space="0" w:color="auto"/>
        <w:right w:val="none" w:sz="0" w:space="0" w:color="auto"/>
      </w:divBdr>
    </w:div>
    <w:div w:id="244337501">
      <w:bodyDiv w:val="1"/>
      <w:marLeft w:val="0"/>
      <w:marRight w:val="0"/>
      <w:marTop w:val="0"/>
      <w:marBottom w:val="0"/>
      <w:divBdr>
        <w:top w:val="none" w:sz="0" w:space="0" w:color="auto"/>
        <w:left w:val="none" w:sz="0" w:space="0" w:color="auto"/>
        <w:bottom w:val="none" w:sz="0" w:space="0" w:color="auto"/>
        <w:right w:val="none" w:sz="0" w:space="0" w:color="auto"/>
      </w:divBdr>
    </w:div>
    <w:div w:id="281693681">
      <w:bodyDiv w:val="1"/>
      <w:marLeft w:val="0"/>
      <w:marRight w:val="0"/>
      <w:marTop w:val="0"/>
      <w:marBottom w:val="0"/>
      <w:divBdr>
        <w:top w:val="none" w:sz="0" w:space="0" w:color="auto"/>
        <w:left w:val="none" w:sz="0" w:space="0" w:color="auto"/>
        <w:bottom w:val="none" w:sz="0" w:space="0" w:color="auto"/>
        <w:right w:val="none" w:sz="0" w:space="0" w:color="auto"/>
      </w:divBdr>
    </w:div>
    <w:div w:id="294913462">
      <w:bodyDiv w:val="1"/>
      <w:marLeft w:val="0"/>
      <w:marRight w:val="0"/>
      <w:marTop w:val="0"/>
      <w:marBottom w:val="0"/>
      <w:divBdr>
        <w:top w:val="none" w:sz="0" w:space="0" w:color="auto"/>
        <w:left w:val="none" w:sz="0" w:space="0" w:color="auto"/>
        <w:bottom w:val="none" w:sz="0" w:space="0" w:color="auto"/>
        <w:right w:val="none" w:sz="0" w:space="0" w:color="auto"/>
      </w:divBdr>
    </w:div>
    <w:div w:id="418986537">
      <w:bodyDiv w:val="1"/>
      <w:marLeft w:val="0"/>
      <w:marRight w:val="0"/>
      <w:marTop w:val="0"/>
      <w:marBottom w:val="0"/>
      <w:divBdr>
        <w:top w:val="none" w:sz="0" w:space="0" w:color="auto"/>
        <w:left w:val="none" w:sz="0" w:space="0" w:color="auto"/>
        <w:bottom w:val="none" w:sz="0" w:space="0" w:color="auto"/>
        <w:right w:val="none" w:sz="0" w:space="0" w:color="auto"/>
      </w:divBdr>
    </w:div>
    <w:div w:id="428040094">
      <w:bodyDiv w:val="1"/>
      <w:marLeft w:val="0"/>
      <w:marRight w:val="0"/>
      <w:marTop w:val="0"/>
      <w:marBottom w:val="0"/>
      <w:divBdr>
        <w:top w:val="none" w:sz="0" w:space="0" w:color="auto"/>
        <w:left w:val="none" w:sz="0" w:space="0" w:color="auto"/>
        <w:bottom w:val="none" w:sz="0" w:space="0" w:color="auto"/>
        <w:right w:val="none" w:sz="0" w:space="0" w:color="auto"/>
      </w:divBdr>
      <w:divsChild>
        <w:div w:id="310134896">
          <w:marLeft w:val="0"/>
          <w:marRight w:val="0"/>
          <w:marTop w:val="0"/>
          <w:marBottom w:val="0"/>
          <w:divBdr>
            <w:top w:val="none" w:sz="0" w:space="0" w:color="auto"/>
            <w:left w:val="none" w:sz="0" w:space="0" w:color="auto"/>
            <w:bottom w:val="none" w:sz="0" w:space="0" w:color="auto"/>
            <w:right w:val="none" w:sz="0" w:space="0" w:color="auto"/>
          </w:divBdr>
          <w:divsChild>
            <w:div w:id="420105175">
              <w:marLeft w:val="0"/>
              <w:marRight w:val="0"/>
              <w:marTop w:val="0"/>
              <w:marBottom w:val="0"/>
              <w:divBdr>
                <w:top w:val="none" w:sz="0" w:space="0" w:color="auto"/>
                <w:left w:val="none" w:sz="0" w:space="0" w:color="auto"/>
                <w:bottom w:val="none" w:sz="0" w:space="0" w:color="auto"/>
                <w:right w:val="none" w:sz="0" w:space="0" w:color="auto"/>
              </w:divBdr>
              <w:divsChild>
                <w:div w:id="3863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409004">
      <w:bodyDiv w:val="1"/>
      <w:marLeft w:val="0"/>
      <w:marRight w:val="0"/>
      <w:marTop w:val="0"/>
      <w:marBottom w:val="0"/>
      <w:divBdr>
        <w:top w:val="none" w:sz="0" w:space="0" w:color="auto"/>
        <w:left w:val="none" w:sz="0" w:space="0" w:color="auto"/>
        <w:bottom w:val="none" w:sz="0" w:space="0" w:color="auto"/>
        <w:right w:val="none" w:sz="0" w:space="0" w:color="auto"/>
      </w:divBdr>
    </w:div>
    <w:div w:id="590939992">
      <w:bodyDiv w:val="1"/>
      <w:marLeft w:val="0"/>
      <w:marRight w:val="0"/>
      <w:marTop w:val="0"/>
      <w:marBottom w:val="0"/>
      <w:divBdr>
        <w:top w:val="none" w:sz="0" w:space="0" w:color="auto"/>
        <w:left w:val="none" w:sz="0" w:space="0" w:color="auto"/>
        <w:bottom w:val="none" w:sz="0" w:space="0" w:color="auto"/>
        <w:right w:val="none" w:sz="0" w:space="0" w:color="auto"/>
      </w:divBdr>
    </w:div>
    <w:div w:id="640575320">
      <w:bodyDiv w:val="1"/>
      <w:marLeft w:val="0"/>
      <w:marRight w:val="0"/>
      <w:marTop w:val="0"/>
      <w:marBottom w:val="0"/>
      <w:divBdr>
        <w:top w:val="none" w:sz="0" w:space="0" w:color="auto"/>
        <w:left w:val="none" w:sz="0" w:space="0" w:color="auto"/>
        <w:bottom w:val="none" w:sz="0" w:space="0" w:color="auto"/>
        <w:right w:val="none" w:sz="0" w:space="0" w:color="auto"/>
      </w:divBdr>
    </w:div>
    <w:div w:id="646058215">
      <w:bodyDiv w:val="1"/>
      <w:marLeft w:val="0"/>
      <w:marRight w:val="0"/>
      <w:marTop w:val="0"/>
      <w:marBottom w:val="0"/>
      <w:divBdr>
        <w:top w:val="none" w:sz="0" w:space="0" w:color="auto"/>
        <w:left w:val="none" w:sz="0" w:space="0" w:color="auto"/>
        <w:bottom w:val="none" w:sz="0" w:space="0" w:color="auto"/>
        <w:right w:val="none" w:sz="0" w:space="0" w:color="auto"/>
      </w:divBdr>
    </w:div>
    <w:div w:id="696007284">
      <w:bodyDiv w:val="1"/>
      <w:marLeft w:val="0"/>
      <w:marRight w:val="0"/>
      <w:marTop w:val="0"/>
      <w:marBottom w:val="0"/>
      <w:divBdr>
        <w:top w:val="none" w:sz="0" w:space="0" w:color="auto"/>
        <w:left w:val="none" w:sz="0" w:space="0" w:color="auto"/>
        <w:bottom w:val="none" w:sz="0" w:space="0" w:color="auto"/>
        <w:right w:val="none" w:sz="0" w:space="0" w:color="auto"/>
      </w:divBdr>
    </w:div>
    <w:div w:id="722019553">
      <w:bodyDiv w:val="1"/>
      <w:marLeft w:val="0"/>
      <w:marRight w:val="0"/>
      <w:marTop w:val="0"/>
      <w:marBottom w:val="0"/>
      <w:divBdr>
        <w:top w:val="none" w:sz="0" w:space="0" w:color="auto"/>
        <w:left w:val="none" w:sz="0" w:space="0" w:color="auto"/>
        <w:bottom w:val="none" w:sz="0" w:space="0" w:color="auto"/>
        <w:right w:val="none" w:sz="0" w:space="0" w:color="auto"/>
      </w:divBdr>
    </w:div>
    <w:div w:id="774254517">
      <w:bodyDiv w:val="1"/>
      <w:marLeft w:val="0"/>
      <w:marRight w:val="0"/>
      <w:marTop w:val="0"/>
      <w:marBottom w:val="0"/>
      <w:divBdr>
        <w:top w:val="none" w:sz="0" w:space="0" w:color="auto"/>
        <w:left w:val="none" w:sz="0" w:space="0" w:color="auto"/>
        <w:bottom w:val="none" w:sz="0" w:space="0" w:color="auto"/>
        <w:right w:val="none" w:sz="0" w:space="0" w:color="auto"/>
      </w:divBdr>
    </w:div>
    <w:div w:id="815531159">
      <w:bodyDiv w:val="1"/>
      <w:marLeft w:val="0"/>
      <w:marRight w:val="0"/>
      <w:marTop w:val="0"/>
      <w:marBottom w:val="0"/>
      <w:divBdr>
        <w:top w:val="none" w:sz="0" w:space="0" w:color="auto"/>
        <w:left w:val="none" w:sz="0" w:space="0" w:color="auto"/>
        <w:bottom w:val="none" w:sz="0" w:space="0" w:color="auto"/>
        <w:right w:val="none" w:sz="0" w:space="0" w:color="auto"/>
      </w:divBdr>
    </w:div>
    <w:div w:id="965349596">
      <w:bodyDiv w:val="1"/>
      <w:marLeft w:val="0"/>
      <w:marRight w:val="0"/>
      <w:marTop w:val="0"/>
      <w:marBottom w:val="0"/>
      <w:divBdr>
        <w:top w:val="none" w:sz="0" w:space="0" w:color="auto"/>
        <w:left w:val="none" w:sz="0" w:space="0" w:color="auto"/>
        <w:bottom w:val="none" w:sz="0" w:space="0" w:color="auto"/>
        <w:right w:val="none" w:sz="0" w:space="0" w:color="auto"/>
      </w:divBdr>
    </w:div>
    <w:div w:id="976834422">
      <w:bodyDiv w:val="1"/>
      <w:marLeft w:val="0"/>
      <w:marRight w:val="0"/>
      <w:marTop w:val="0"/>
      <w:marBottom w:val="0"/>
      <w:divBdr>
        <w:top w:val="none" w:sz="0" w:space="0" w:color="auto"/>
        <w:left w:val="none" w:sz="0" w:space="0" w:color="auto"/>
        <w:bottom w:val="none" w:sz="0" w:space="0" w:color="auto"/>
        <w:right w:val="none" w:sz="0" w:space="0" w:color="auto"/>
      </w:divBdr>
    </w:div>
    <w:div w:id="1027676111">
      <w:bodyDiv w:val="1"/>
      <w:marLeft w:val="0"/>
      <w:marRight w:val="0"/>
      <w:marTop w:val="0"/>
      <w:marBottom w:val="0"/>
      <w:divBdr>
        <w:top w:val="none" w:sz="0" w:space="0" w:color="auto"/>
        <w:left w:val="none" w:sz="0" w:space="0" w:color="auto"/>
        <w:bottom w:val="none" w:sz="0" w:space="0" w:color="auto"/>
        <w:right w:val="none" w:sz="0" w:space="0" w:color="auto"/>
      </w:divBdr>
      <w:divsChild>
        <w:div w:id="2025207219">
          <w:marLeft w:val="0"/>
          <w:marRight w:val="0"/>
          <w:marTop w:val="0"/>
          <w:marBottom w:val="0"/>
          <w:divBdr>
            <w:top w:val="none" w:sz="0" w:space="0" w:color="auto"/>
            <w:left w:val="none" w:sz="0" w:space="0" w:color="auto"/>
            <w:bottom w:val="none" w:sz="0" w:space="0" w:color="auto"/>
            <w:right w:val="none" w:sz="0" w:space="0" w:color="auto"/>
          </w:divBdr>
          <w:divsChild>
            <w:div w:id="1140615232">
              <w:marLeft w:val="0"/>
              <w:marRight w:val="0"/>
              <w:marTop w:val="0"/>
              <w:marBottom w:val="0"/>
              <w:divBdr>
                <w:top w:val="none" w:sz="0" w:space="0" w:color="auto"/>
                <w:left w:val="none" w:sz="0" w:space="0" w:color="auto"/>
                <w:bottom w:val="none" w:sz="0" w:space="0" w:color="auto"/>
                <w:right w:val="none" w:sz="0" w:space="0" w:color="auto"/>
              </w:divBdr>
              <w:divsChild>
                <w:div w:id="268516141">
                  <w:marLeft w:val="0"/>
                  <w:marRight w:val="0"/>
                  <w:marTop w:val="0"/>
                  <w:marBottom w:val="0"/>
                  <w:divBdr>
                    <w:top w:val="none" w:sz="0" w:space="0" w:color="auto"/>
                    <w:left w:val="none" w:sz="0" w:space="0" w:color="auto"/>
                    <w:bottom w:val="none" w:sz="0" w:space="0" w:color="auto"/>
                    <w:right w:val="none" w:sz="0" w:space="0" w:color="auto"/>
                  </w:divBdr>
                  <w:divsChild>
                    <w:div w:id="202416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0779213">
      <w:bodyDiv w:val="1"/>
      <w:marLeft w:val="0"/>
      <w:marRight w:val="0"/>
      <w:marTop w:val="0"/>
      <w:marBottom w:val="0"/>
      <w:divBdr>
        <w:top w:val="none" w:sz="0" w:space="0" w:color="auto"/>
        <w:left w:val="none" w:sz="0" w:space="0" w:color="auto"/>
        <w:bottom w:val="none" w:sz="0" w:space="0" w:color="auto"/>
        <w:right w:val="none" w:sz="0" w:space="0" w:color="auto"/>
      </w:divBdr>
    </w:div>
    <w:div w:id="1131901743">
      <w:bodyDiv w:val="1"/>
      <w:marLeft w:val="0"/>
      <w:marRight w:val="0"/>
      <w:marTop w:val="0"/>
      <w:marBottom w:val="0"/>
      <w:divBdr>
        <w:top w:val="none" w:sz="0" w:space="0" w:color="auto"/>
        <w:left w:val="none" w:sz="0" w:space="0" w:color="auto"/>
        <w:bottom w:val="none" w:sz="0" w:space="0" w:color="auto"/>
        <w:right w:val="none" w:sz="0" w:space="0" w:color="auto"/>
      </w:divBdr>
    </w:div>
    <w:div w:id="1283725633">
      <w:bodyDiv w:val="1"/>
      <w:marLeft w:val="0"/>
      <w:marRight w:val="0"/>
      <w:marTop w:val="0"/>
      <w:marBottom w:val="0"/>
      <w:divBdr>
        <w:top w:val="none" w:sz="0" w:space="0" w:color="auto"/>
        <w:left w:val="none" w:sz="0" w:space="0" w:color="auto"/>
        <w:bottom w:val="none" w:sz="0" w:space="0" w:color="auto"/>
        <w:right w:val="none" w:sz="0" w:space="0" w:color="auto"/>
      </w:divBdr>
    </w:div>
    <w:div w:id="1361081366">
      <w:bodyDiv w:val="1"/>
      <w:marLeft w:val="0"/>
      <w:marRight w:val="0"/>
      <w:marTop w:val="0"/>
      <w:marBottom w:val="0"/>
      <w:divBdr>
        <w:top w:val="none" w:sz="0" w:space="0" w:color="auto"/>
        <w:left w:val="none" w:sz="0" w:space="0" w:color="auto"/>
        <w:bottom w:val="none" w:sz="0" w:space="0" w:color="auto"/>
        <w:right w:val="none" w:sz="0" w:space="0" w:color="auto"/>
      </w:divBdr>
    </w:div>
    <w:div w:id="1418134843">
      <w:bodyDiv w:val="1"/>
      <w:marLeft w:val="0"/>
      <w:marRight w:val="0"/>
      <w:marTop w:val="0"/>
      <w:marBottom w:val="0"/>
      <w:divBdr>
        <w:top w:val="none" w:sz="0" w:space="0" w:color="auto"/>
        <w:left w:val="none" w:sz="0" w:space="0" w:color="auto"/>
        <w:bottom w:val="none" w:sz="0" w:space="0" w:color="auto"/>
        <w:right w:val="none" w:sz="0" w:space="0" w:color="auto"/>
      </w:divBdr>
    </w:div>
    <w:div w:id="1551960647">
      <w:bodyDiv w:val="1"/>
      <w:marLeft w:val="0"/>
      <w:marRight w:val="0"/>
      <w:marTop w:val="0"/>
      <w:marBottom w:val="0"/>
      <w:divBdr>
        <w:top w:val="none" w:sz="0" w:space="0" w:color="auto"/>
        <w:left w:val="none" w:sz="0" w:space="0" w:color="auto"/>
        <w:bottom w:val="none" w:sz="0" w:space="0" w:color="auto"/>
        <w:right w:val="none" w:sz="0" w:space="0" w:color="auto"/>
      </w:divBdr>
      <w:divsChild>
        <w:div w:id="766266102">
          <w:marLeft w:val="0"/>
          <w:marRight w:val="0"/>
          <w:marTop w:val="0"/>
          <w:marBottom w:val="0"/>
          <w:divBdr>
            <w:top w:val="none" w:sz="0" w:space="0" w:color="auto"/>
            <w:left w:val="none" w:sz="0" w:space="0" w:color="auto"/>
            <w:bottom w:val="none" w:sz="0" w:space="0" w:color="auto"/>
            <w:right w:val="none" w:sz="0" w:space="0" w:color="auto"/>
          </w:divBdr>
          <w:divsChild>
            <w:div w:id="317223188">
              <w:marLeft w:val="0"/>
              <w:marRight w:val="0"/>
              <w:marTop w:val="0"/>
              <w:marBottom w:val="0"/>
              <w:divBdr>
                <w:top w:val="none" w:sz="0" w:space="0" w:color="auto"/>
                <w:left w:val="none" w:sz="0" w:space="0" w:color="auto"/>
                <w:bottom w:val="none" w:sz="0" w:space="0" w:color="auto"/>
                <w:right w:val="none" w:sz="0" w:space="0" w:color="auto"/>
              </w:divBdr>
              <w:divsChild>
                <w:div w:id="90230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500371">
      <w:bodyDiv w:val="1"/>
      <w:marLeft w:val="0"/>
      <w:marRight w:val="0"/>
      <w:marTop w:val="0"/>
      <w:marBottom w:val="0"/>
      <w:divBdr>
        <w:top w:val="none" w:sz="0" w:space="0" w:color="auto"/>
        <w:left w:val="none" w:sz="0" w:space="0" w:color="auto"/>
        <w:bottom w:val="none" w:sz="0" w:space="0" w:color="auto"/>
        <w:right w:val="none" w:sz="0" w:space="0" w:color="auto"/>
      </w:divBdr>
    </w:div>
    <w:div w:id="1872766979">
      <w:bodyDiv w:val="1"/>
      <w:marLeft w:val="0"/>
      <w:marRight w:val="0"/>
      <w:marTop w:val="0"/>
      <w:marBottom w:val="0"/>
      <w:divBdr>
        <w:top w:val="none" w:sz="0" w:space="0" w:color="auto"/>
        <w:left w:val="none" w:sz="0" w:space="0" w:color="auto"/>
        <w:bottom w:val="none" w:sz="0" w:space="0" w:color="auto"/>
        <w:right w:val="none" w:sz="0" w:space="0" w:color="auto"/>
      </w:divBdr>
    </w:div>
    <w:div w:id="1955282586">
      <w:bodyDiv w:val="1"/>
      <w:marLeft w:val="0"/>
      <w:marRight w:val="0"/>
      <w:marTop w:val="0"/>
      <w:marBottom w:val="0"/>
      <w:divBdr>
        <w:top w:val="none" w:sz="0" w:space="0" w:color="auto"/>
        <w:left w:val="none" w:sz="0" w:space="0" w:color="auto"/>
        <w:bottom w:val="none" w:sz="0" w:space="0" w:color="auto"/>
        <w:right w:val="none" w:sz="0" w:space="0" w:color="auto"/>
      </w:divBdr>
    </w:div>
    <w:div w:id="21278927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health.ec.europa.eu/non-communicable-diseases/cancer_en" TargetMode="External"/><Relationship Id="rId17" Type="http://schemas.openxmlformats.org/officeDocument/2006/relationships/hyperlink" Target="http://www.tourr.eu" TargetMode="External"/><Relationship Id="rId2" Type="http://schemas.openxmlformats.org/officeDocument/2006/relationships/customXml" Target="../customXml/item2.xml"/><Relationship Id="rId16" Type="http://schemas.openxmlformats.org/officeDocument/2006/relationships/hyperlink" Target="http://www.enen.eu/secure-projec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EN/TXT/PDF/?uri=CELEX:52021XC1230(02)"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prismap.eu"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p.europa.eu/en/publication-detail/-/publication/4599de47-3ac6-11ec-89db-01aa75ed71a1/language-en"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consilium.europa.eu/en/press/press-releases/2024/06/17/radioisotopes-for-medical-use-council-approves-conclusions/" TargetMode="External"/><Relationship Id="rId1" Type="http://schemas.openxmlformats.org/officeDocument/2006/relationships/hyperlink" Target="https://op.europa.eu/en/publication-detail/-/publication/4599de47-3ac6-11ec-89db-01aa75ed71a1/languag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A94556B2B814524295F421242F1587F9" ma:contentTypeVersion="3" ma:contentTypeDescription="Umožňuje vytvoriť nový dokument." ma:contentTypeScope="" ma:versionID="5224d1fdfea33b8ded7d81c04ccbeb9f">
  <xsd:schema xmlns:xsd="http://www.w3.org/2001/XMLSchema" xmlns:xs="http://www.w3.org/2001/XMLSchema" xmlns:p="http://schemas.microsoft.com/office/2006/metadata/properties" xmlns:ns2="1217bdb6-52c4-41af-958e-15452066f23a" targetNamespace="http://schemas.microsoft.com/office/2006/metadata/properties" ma:root="true" ma:fieldsID="e81ca58095d59024646e7f5f5ca3839d" ns2:_="">
    <xsd:import namespace="1217bdb6-52c4-41af-958e-15452066f23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17bdb6-52c4-41af-958e-15452066f2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2E540B-2C94-49CB-9B70-68E1F17A926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F6F311E-96AA-4D49-8584-02CA947DBAAA}">
  <ds:schemaRefs>
    <ds:schemaRef ds:uri="http://schemas.openxmlformats.org/officeDocument/2006/bibliography"/>
  </ds:schemaRefs>
</ds:datastoreItem>
</file>

<file path=customXml/itemProps3.xml><?xml version="1.0" encoding="utf-8"?>
<ds:datastoreItem xmlns:ds="http://schemas.openxmlformats.org/officeDocument/2006/customXml" ds:itemID="{C8AB65BC-707B-4CB7-9C8F-7957351629AB}">
  <ds:schemaRefs>
    <ds:schemaRef ds:uri="http://schemas.microsoft.com/sharepoint/v3/contenttype/forms"/>
  </ds:schemaRefs>
</ds:datastoreItem>
</file>

<file path=customXml/itemProps4.xml><?xml version="1.0" encoding="utf-8"?>
<ds:datastoreItem xmlns:ds="http://schemas.openxmlformats.org/officeDocument/2006/customXml" ds:itemID="{F5D32909-C3F6-4B85-B330-8708FB2070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17bdb6-52c4-41af-958e-15452066f2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8138</Words>
  <Characters>46393</Characters>
  <Application>Microsoft Office Word</Application>
  <DocSecurity>0</DocSecurity>
  <PresentationFormat>Microsoft Word 14.0</PresentationFormat>
  <Lines>386</Lines>
  <Paragraphs>108</Paragraphs>
  <ScaleCrop>true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2025-03-31T06:10:00Z</dcterms:created>
  <dcterms:modified xsi:type="dcterms:W3CDTF">2026-08-27T08:12:00Z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0x010100A94556B2B814524295F421242F1587F9</vt:lpwstr>
  </property>
</Properties>
</file>