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E4C504" w14:textId="77777777" w:rsidR="005D5AB8" w:rsidRDefault="005D5AB8" w:rsidP="003D1C59">
      <w:pPr>
        <w:spacing w:after="120"/>
        <w:ind w:right="-142"/>
        <w:jc w:val="center"/>
        <w:rPr>
          <w:b/>
        </w:rPr>
      </w:pPr>
      <w:r>
        <w:rPr>
          <w:b/>
        </w:rPr>
        <w:t xml:space="preserve">K O N S O L I D O V A N É   Z N E N I E </w:t>
      </w:r>
    </w:p>
    <w:p w14:paraId="2C670E2F" w14:textId="0129EB4D" w:rsidR="003D1C59" w:rsidRPr="00BB2702" w:rsidRDefault="003D1C59" w:rsidP="003D1C59">
      <w:pPr>
        <w:spacing w:after="120"/>
        <w:ind w:right="-142"/>
        <w:jc w:val="center"/>
        <w:rPr>
          <w:b/>
        </w:rPr>
      </w:pPr>
      <w:r>
        <w:rPr>
          <w:b/>
        </w:rPr>
        <w:t>METODICK</w:t>
      </w:r>
      <w:r w:rsidR="008D4827">
        <w:rPr>
          <w:b/>
        </w:rPr>
        <w:t>ÉHO</w:t>
      </w:r>
      <w:r w:rsidR="005D5AB8">
        <w:rPr>
          <w:b/>
        </w:rPr>
        <w:t xml:space="preserve"> </w:t>
      </w:r>
      <w:r>
        <w:rPr>
          <w:b/>
        </w:rPr>
        <w:t>POKYN</w:t>
      </w:r>
      <w:r w:rsidR="008D4827">
        <w:rPr>
          <w:b/>
        </w:rPr>
        <w:t>U</w:t>
      </w:r>
      <w:r w:rsidR="00602F33">
        <w:rPr>
          <w:b/>
        </w:rPr>
        <w:t xml:space="preserve"> č. 2/2</w:t>
      </w:r>
      <w:r>
        <w:rPr>
          <w:b/>
        </w:rPr>
        <w:t>018</w:t>
      </w:r>
    </w:p>
    <w:p w14:paraId="0897F1DA" w14:textId="77777777" w:rsidR="003D1C59" w:rsidRPr="00BB2702" w:rsidRDefault="003D1C59" w:rsidP="00C6192D">
      <w:pPr>
        <w:spacing w:after="120"/>
        <w:ind w:right="-142"/>
        <w:jc w:val="center"/>
        <w:rPr>
          <w:b/>
        </w:rPr>
      </w:pPr>
      <w:r w:rsidRPr="00BB2702">
        <w:rPr>
          <w:b/>
        </w:rPr>
        <w:t>Ministerstva hospodárstva Slovenskej republiky</w:t>
      </w:r>
    </w:p>
    <w:p w14:paraId="4825E454" w14:textId="4B9F1353" w:rsidR="003D1C59" w:rsidRPr="00AC2412" w:rsidRDefault="00C6192D" w:rsidP="00AC2412">
      <w:pPr>
        <w:spacing w:before="120"/>
        <w:ind w:right="-142"/>
        <w:jc w:val="both"/>
      </w:pPr>
      <w:r w:rsidRPr="00AC2412">
        <w:t>Konsolidované znenie metodického pokynu č. 2/2018 Ministerstva hospodárstva Slovenskej republiky</w:t>
      </w:r>
      <w:r w:rsidR="00F91ED6">
        <w:t xml:space="preserve"> z 29. júna 2018</w:t>
      </w:r>
      <w:r w:rsidRPr="00AC2412">
        <w:t xml:space="preserve"> </w:t>
      </w:r>
      <w:r w:rsidR="003D1C59" w:rsidRPr="00AC2412">
        <w:t>na vypracovanie nezávislého odborného posudku k predpokladu prijímateľa investičnej pomoci splniť podmienky na poskytnutie investičnej pomoci, k</w:t>
      </w:r>
      <w:r w:rsidR="00F91ED6">
        <w:t> </w:t>
      </w:r>
      <w:r w:rsidR="003D1C59" w:rsidRPr="00AC2412">
        <w:t>predpokladu naplnenia parametrov investičného zámeru a k vplyvu investičného zámeru na</w:t>
      </w:r>
      <w:r w:rsidR="00657687">
        <w:t> </w:t>
      </w:r>
      <w:r w:rsidR="003D1C59" w:rsidRPr="00AC2412">
        <w:t>verejné financie</w:t>
      </w:r>
      <w:r w:rsidR="001A4C82">
        <w:t>,</w:t>
      </w:r>
      <w:r w:rsidRPr="00AC2412">
        <w:t xml:space="preserve"> ako vyplýva zo zmeny vykonanej Dodatkom č. 1 z</w:t>
      </w:r>
      <w:r w:rsidR="008D4827" w:rsidRPr="00AC2412">
        <w:t> </w:t>
      </w:r>
      <w:r w:rsidR="009C7E58">
        <w:t>20</w:t>
      </w:r>
      <w:r w:rsidR="008D4827" w:rsidRPr="00AC2412">
        <w:t>. februára 2020</w:t>
      </w:r>
      <w:r w:rsidR="00E363D6">
        <w:t xml:space="preserve"> a zo </w:t>
      </w:r>
      <w:r w:rsidR="00F15F17">
        <w:t>zmeny vykonanej Dodatkom č. 2 z</w:t>
      </w:r>
      <w:r w:rsidR="00E363D6">
        <w:t> 29</w:t>
      </w:r>
      <w:r w:rsidR="00280505">
        <w:t xml:space="preserve">. </w:t>
      </w:r>
      <w:r w:rsidR="00A1388A">
        <w:t>novembra</w:t>
      </w:r>
      <w:r w:rsidR="00280505">
        <w:t xml:space="preserve"> 2024</w:t>
      </w:r>
      <w:r w:rsidR="00657687">
        <w:t>:</w:t>
      </w:r>
    </w:p>
    <w:p w14:paraId="70B543D4" w14:textId="77777777" w:rsidR="003D1C59" w:rsidRDefault="003D1C59" w:rsidP="003D1C59">
      <w:pPr>
        <w:ind w:right="-142"/>
        <w:jc w:val="center"/>
        <w:rPr>
          <w:b/>
        </w:rPr>
      </w:pPr>
    </w:p>
    <w:p w14:paraId="74F809A2" w14:textId="77777777" w:rsidR="00BC3DA7" w:rsidRPr="00724C05" w:rsidRDefault="00BC3DA7" w:rsidP="00BC3DA7">
      <w:pPr>
        <w:spacing w:before="60"/>
        <w:ind w:right="-142"/>
        <w:jc w:val="both"/>
      </w:pPr>
      <w:r w:rsidRPr="00D20714">
        <w:t xml:space="preserve">Ministerstvo hospodárstva Slovenskej republiky (ďalej len „ministerstvo“) vydáva tento </w:t>
      </w:r>
      <w:r>
        <w:t xml:space="preserve"> </w:t>
      </w:r>
      <w:r w:rsidRPr="00D20714">
        <w:t>Metodick</w:t>
      </w:r>
      <w:r w:rsidR="008D4827">
        <w:t>ý</w:t>
      </w:r>
      <w:r w:rsidRPr="00D20714">
        <w:t xml:space="preserve"> pokyn</w:t>
      </w:r>
      <w:r>
        <w:t xml:space="preserve"> č. 2/2018</w:t>
      </w:r>
      <w:r w:rsidRPr="00D20714">
        <w:t xml:space="preserve"> </w:t>
      </w:r>
      <w:r w:rsidRPr="00724C05">
        <w:t xml:space="preserve">na vypracovanie </w:t>
      </w:r>
      <w:r>
        <w:t>nezávislého odborného posudku</w:t>
      </w:r>
      <w:r w:rsidRPr="00724C05">
        <w:t xml:space="preserve"> k predpokladu prijímateľa </w:t>
      </w:r>
      <w:r>
        <w:t xml:space="preserve">investičnej pomoci </w:t>
      </w:r>
      <w:r w:rsidRPr="00724C05">
        <w:t>splniť podmienky na poskytnutie investičnej pomoci, k</w:t>
      </w:r>
      <w:r w:rsidR="00F91ED6">
        <w:t> </w:t>
      </w:r>
      <w:r w:rsidRPr="00724C05">
        <w:t>predpokladu naplnenia parametrov investičného zámeru a k vplyvu investičného zámeru na</w:t>
      </w:r>
      <w:r w:rsidR="00F91ED6">
        <w:t> </w:t>
      </w:r>
      <w:r w:rsidRPr="00724C05">
        <w:t>verejné financie (ďalej len „odborný posudok“).</w:t>
      </w:r>
    </w:p>
    <w:p w14:paraId="6A968229" w14:textId="77777777" w:rsidR="00BC3DA7" w:rsidRPr="009B3042" w:rsidRDefault="00BC3DA7" w:rsidP="00BC3DA7">
      <w:pPr>
        <w:spacing w:before="320" w:after="120"/>
        <w:ind w:right="-142"/>
        <w:jc w:val="center"/>
        <w:outlineLvl w:val="0"/>
        <w:rPr>
          <w:b/>
        </w:rPr>
      </w:pPr>
      <w:r w:rsidRPr="00724C05">
        <w:rPr>
          <w:b/>
        </w:rPr>
        <w:t>Čl. 1</w:t>
      </w:r>
      <w:r w:rsidRPr="00724C05">
        <w:rPr>
          <w:b/>
        </w:rPr>
        <w:br/>
        <w:t>Predmet úpravy</w:t>
      </w:r>
    </w:p>
    <w:p w14:paraId="2B0C57E8" w14:textId="77777777" w:rsidR="00BC3DA7" w:rsidRPr="00724C05" w:rsidRDefault="00BC3DA7" w:rsidP="00BC3DA7">
      <w:pPr>
        <w:numPr>
          <w:ilvl w:val="0"/>
          <w:numId w:val="14"/>
        </w:numPr>
        <w:spacing w:after="240"/>
        <w:ind w:left="425" w:right="-142" w:hanging="425"/>
        <w:jc w:val="both"/>
      </w:pPr>
      <w:r w:rsidRPr="00724C05">
        <w:t xml:space="preserve">Cieľom metodického pokynu je vymedzenie podstatných náležitostí odborného posudku </w:t>
      </w:r>
      <w:r>
        <w:t>podľa</w:t>
      </w:r>
      <w:r w:rsidRPr="00724C05">
        <w:t xml:space="preserve"> § 15 ods. 1 zákona č. 57/2018 Z. z. o regionálnej</w:t>
      </w:r>
      <w:r>
        <w:t xml:space="preserve"> investičnej pomoci a o zmene a </w:t>
      </w:r>
      <w:r w:rsidRPr="00724C05">
        <w:t xml:space="preserve">doplnení niektorých zákonov (ďalej len „zákon o investičnej pomoci“), </w:t>
      </w:r>
      <w:r>
        <w:t xml:space="preserve">vrátane spôsobu ich prípravy, </w:t>
      </w:r>
      <w:r w:rsidRPr="00724C05">
        <w:t xml:space="preserve">prostredníctvom ktorých </w:t>
      </w:r>
      <w:r>
        <w:t>hodnotiteľ</w:t>
      </w:r>
      <w:r w:rsidRPr="00724C05">
        <w:t xml:space="preserve"> odborne </w:t>
      </w:r>
      <w:r>
        <w:t>posúdi</w:t>
      </w:r>
      <w:r w:rsidRPr="00724C05">
        <w:t xml:space="preserve"> predpoklad </w:t>
      </w:r>
      <w:r>
        <w:t>prijímateľa investičnej pomoci</w:t>
      </w:r>
      <w:r>
        <w:rPr>
          <w:rStyle w:val="Odkaznapoznmkupodiarou"/>
        </w:rPr>
        <w:footnoteReference w:id="1"/>
      </w:r>
      <w:r>
        <w:t>) (ďalej len „prijímateľ“) splniť podmienky na </w:t>
      </w:r>
      <w:r w:rsidRPr="00724C05">
        <w:t>poskytnutie investičnej pomoci, predpoklad naplnenia parametrov investičného zámeru a vplyv investičn</w:t>
      </w:r>
      <w:r>
        <w:t>ého zámeru na verejné financie.</w:t>
      </w:r>
    </w:p>
    <w:p w14:paraId="1395202C" w14:textId="77777777" w:rsidR="00BC3DA7" w:rsidRPr="00724C05" w:rsidRDefault="00BC3DA7" w:rsidP="00BC3DA7">
      <w:pPr>
        <w:numPr>
          <w:ilvl w:val="0"/>
          <w:numId w:val="14"/>
        </w:numPr>
        <w:spacing w:after="60"/>
        <w:ind w:left="425" w:right="-142" w:hanging="425"/>
        <w:jc w:val="both"/>
      </w:pPr>
      <w:r w:rsidRPr="00724C05">
        <w:t>Na účely tohto metodického pokynu sa rozumie:</w:t>
      </w:r>
    </w:p>
    <w:p w14:paraId="5AFFF6FF" w14:textId="77777777" w:rsidR="00BC3DA7" w:rsidRPr="00724C05" w:rsidRDefault="00BC3DA7" w:rsidP="00BC3DA7">
      <w:pPr>
        <w:pStyle w:val="Odsekzoznamu"/>
        <w:numPr>
          <w:ilvl w:val="0"/>
          <w:numId w:val="29"/>
        </w:numPr>
        <w:ind w:left="851" w:right="-142" w:hanging="425"/>
        <w:jc w:val="both"/>
      </w:pPr>
      <w:r>
        <w:t>hodnotiacou a</w:t>
      </w:r>
      <w:r w:rsidRPr="00724C05">
        <w:t xml:space="preserve">gentúrou Slovenská inovačná a </w:t>
      </w:r>
      <w:r>
        <w:t xml:space="preserve">energetická agentúra (ďalej len </w:t>
      </w:r>
      <w:r w:rsidRPr="00724C05">
        <w:t>„hodnotiaca agentúra“),</w:t>
      </w:r>
    </w:p>
    <w:p w14:paraId="28B38BA0" w14:textId="77777777" w:rsidR="00BC3DA7" w:rsidRPr="00724C05" w:rsidRDefault="00BC3DA7" w:rsidP="00BC3DA7">
      <w:pPr>
        <w:pStyle w:val="Odsekzoznamu"/>
        <w:numPr>
          <w:ilvl w:val="0"/>
          <w:numId w:val="29"/>
        </w:numPr>
        <w:spacing w:after="240"/>
        <w:ind w:left="850" w:right="-142" w:hanging="425"/>
        <w:contextualSpacing w:val="0"/>
        <w:jc w:val="both"/>
      </w:pPr>
      <w:r w:rsidRPr="00724C05">
        <w:t xml:space="preserve">hodnotiteľom odborne spôsobilá osoba </w:t>
      </w:r>
      <w:r>
        <w:t>určená</w:t>
      </w:r>
      <w:r w:rsidRPr="00724C05">
        <w:t xml:space="preserve"> na vypracovanie odbornéh</w:t>
      </w:r>
      <w:r>
        <w:t>o posudku hodnotiacou agentúrou.</w:t>
      </w:r>
    </w:p>
    <w:p w14:paraId="0B003DB0" w14:textId="77777777" w:rsidR="00BC3DA7" w:rsidRPr="00724C05" w:rsidRDefault="00BC3DA7" w:rsidP="00BC3DA7">
      <w:pPr>
        <w:numPr>
          <w:ilvl w:val="0"/>
          <w:numId w:val="14"/>
        </w:numPr>
        <w:spacing w:after="240"/>
        <w:ind w:left="425" w:right="-142" w:hanging="425"/>
        <w:jc w:val="both"/>
      </w:pPr>
      <w:r w:rsidRPr="00724C05">
        <w:t>Odborný posudok musí byť</w:t>
      </w:r>
      <w:r>
        <w:t xml:space="preserve"> vypracovaný</w:t>
      </w:r>
      <w:r w:rsidRPr="00724C05">
        <w:t xml:space="preserve"> nezávisl</w:t>
      </w:r>
      <w:r>
        <w:t>e</w:t>
      </w:r>
      <w:r w:rsidRPr="00724C05">
        <w:t xml:space="preserve"> a nestrann</w:t>
      </w:r>
      <w:r>
        <w:t>e</w:t>
      </w:r>
      <w:r w:rsidRPr="00724C05">
        <w:t>.</w:t>
      </w:r>
    </w:p>
    <w:p w14:paraId="234B4422" w14:textId="77777777" w:rsidR="00BC3DA7" w:rsidRPr="00724C05" w:rsidRDefault="00BC3DA7" w:rsidP="00BC3DA7">
      <w:pPr>
        <w:numPr>
          <w:ilvl w:val="0"/>
          <w:numId w:val="14"/>
        </w:numPr>
        <w:spacing w:after="240"/>
        <w:ind w:left="425" w:right="-142" w:hanging="425"/>
        <w:jc w:val="both"/>
      </w:pPr>
      <w:r w:rsidRPr="00724C05">
        <w:t xml:space="preserve">Ak hodnotiteľ spolupracoval s </w:t>
      </w:r>
      <w:r>
        <w:t>prijímateľom</w:t>
      </w:r>
      <w:r w:rsidRPr="00724C05">
        <w:t xml:space="preserve"> alebo so spoločnosťou, ktorá žiadosť </w:t>
      </w:r>
      <w:r>
        <w:t>o investičnú pomoc</w:t>
      </w:r>
      <w:r>
        <w:rPr>
          <w:rStyle w:val="Odkaznapoznmkupodiarou"/>
        </w:rPr>
        <w:footnoteReference w:id="2"/>
      </w:r>
      <w:r>
        <w:t xml:space="preserve">) (ďalej len „žiadosť“) </w:t>
      </w:r>
      <w:r w:rsidRPr="00724C05">
        <w:t xml:space="preserve">vypracovala, hodnotiaca agentúra </w:t>
      </w:r>
      <w:r>
        <w:t>určí</w:t>
      </w:r>
      <w:r w:rsidRPr="00724C05">
        <w:t xml:space="preserve"> </w:t>
      </w:r>
      <w:r>
        <w:t>na </w:t>
      </w:r>
      <w:r w:rsidRPr="00724C05">
        <w:t>vypracovanie odborné</w:t>
      </w:r>
      <w:r>
        <w:t>ho posudku iného hodnotiteľa. Ak má hodnotiteľ pochybnosti o svojej nestrannosti pri vypracovaní odborného posudku z iného dôvodu ako sa uvádza v predchádzajúcej vete, včas o tejto skutočnosti informuje hodnotiacu agentúru, ktorá určí na vypracovanie odborného posudku iného hodnotiteľa.</w:t>
      </w:r>
    </w:p>
    <w:p w14:paraId="198192DD" w14:textId="77777777" w:rsidR="00BC3DA7" w:rsidRPr="00724C05" w:rsidRDefault="00BC3DA7" w:rsidP="00BC3DA7">
      <w:pPr>
        <w:numPr>
          <w:ilvl w:val="0"/>
          <w:numId w:val="14"/>
        </w:numPr>
        <w:spacing w:after="240"/>
        <w:ind w:left="425" w:right="-142" w:hanging="425"/>
        <w:jc w:val="both"/>
      </w:pPr>
      <w:r w:rsidRPr="00724C05">
        <w:t xml:space="preserve">Odborný posudok sa vypracováva </w:t>
      </w:r>
      <w:r>
        <w:t xml:space="preserve">individuálne </w:t>
      </w:r>
      <w:r w:rsidRPr="00724C05">
        <w:t xml:space="preserve">pre každú žiadosť. </w:t>
      </w:r>
    </w:p>
    <w:p w14:paraId="1AEBD8D7" w14:textId="77777777" w:rsidR="00BC3DA7" w:rsidRPr="00724C05" w:rsidRDefault="00BC3DA7" w:rsidP="00BC3DA7">
      <w:pPr>
        <w:numPr>
          <w:ilvl w:val="0"/>
          <w:numId w:val="14"/>
        </w:numPr>
        <w:ind w:left="425" w:right="-142" w:hanging="425"/>
        <w:jc w:val="both"/>
      </w:pPr>
      <w:r w:rsidRPr="00724C05">
        <w:t>Odborný posudok musí byť vypracovaný v súlade s § 15</w:t>
      </w:r>
      <w:r>
        <w:t xml:space="preserve"> zákona o investičnej pomoci, a </w:t>
      </w:r>
      <w:r w:rsidRPr="00724C05">
        <w:t>to v</w:t>
      </w:r>
      <w:r>
        <w:t> lehote</w:t>
      </w:r>
      <w:r w:rsidRPr="00724C05">
        <w:t xml:space="preserve"> 15 pracovných dní od doručenia žiadosti </w:t>
      </w:r>
      <w:r>
        <w:t>ministerstva o</w:t>
      </w:r>
      <w:r w:rsidRPr="00724C05">
        <w:t xml:space="preserve"> vypracovanie odborného posudku hodnotiacej agentúre.</w:t>
      </w:r>
    </w:p>
    <w:p w14:paraId="64EA7E8E" w14:textId="77777777" w:rsidR="00BC3DA7" w:rsidRPr="009B3042" w:rsidRDefault="00BC3DA7" w:rsidP="00BC3DA7">
      <w:pPr>
        <w:spacing w:before="360" w:after="120"/>
        <w:ind w:right="-142"/>
        <w:jc w:val="center"/>
        <w:outlineLvl w:val="0"/>
        <w:rPr>
          <w:b/>
        </w:rPr>
      </w:pPr>
      <w:r w:rsidRPr="00724C05">
        <w:rPr>
          <w:b/>
        </w:rPr>
        <w:lastRenderedPageBreak/>
        <w:t>Čl. 2</w:t>
      </w:r>
      <w:r w:rsidRPr="00724C05">
        <w:rPr>
          <w:b/>
        </w:rPr>
        <w:br/>
        <w:t xml:space="preserve">Obsahové náležitosti odborného posudku </w:t>
      </w:r>
    </w:p>
    <w:p w14:paraId="1305EE3F" w14:textId="77777777" w:rsidR="00BC3DA7" w:rsidRPr="00724C05" w:rsidRDefault="00BC3DA7" w:rsidP="00BC3DA7">
      <w:pPr>
        <w:spacing w:after="60"/>
        <w:ind w:right="-142"/>
        <w:jc w:val="both"/>
      </w:pPr>
      <w:r w:rsidRPr="00724C05">
        <w:t xml:space="preserve">Odborný posudok obsahuje: </w:t>
      </w:r>
    </w:p>
    <w:p w14:paraId="6591A680" w14:textId="77777777" w:rsidR="00BC3DA7" w:rsidRDefault="00BC3DA7" w:rsidP="00BC3DA7">
      <w:pPr>
        <w:pStyle w:val="Odsekzoznamu"/>
        <w:numPr>
          <w:ilvl w:val="0"/>
          <w:numId w:val="31"/>
        </w:numPr>
        <w:ind w:left="426" w:right="-142" w:hanging="426"/>
        <w:jc w:val="both"/>
      </w:pPr>
      <w:r w:rsidRPr="00724C05">
        <w:t>charakteristiku prijímateľa</w:t>
      </w:r>
      <w:r>
        <w:t xml:space="preserve"> a p</w:t>
      </w:r>
      <w:r w:rsidRPr="00724C05">
        <w:t>opis investičného zámeru spôs</w:t>
      </w:r>
      <w:r>
        <w:t>obom a v rozsahu podľa čl. 3,</w:t>
      </w:r>
    </w:p>
    <w:p w14:paraId="1FAD5E82" w14:textId="77777777" w:rsidR="00BC3DA7" w:rsidRDefault="00BC3DA7" w:rsidP="00BC3DA7">
      <w:pPr>
        <w:pStyle w:val="Odsekzoznamu"/>
        <w:numPr>
          <w:ilvl w:val="0"/>
          <w:numId w:val="31"/>
        </w:numPr>
        <w:ind w:left="426" w:right="-142" w:hanging="426"/>
        <w:jc w:val="both"/>
      </w:pPr>
      <w:r>
        <w:t>zhodnotenie finančnej výkonnosti prijímateľa spôsobom a v rozsahu podľa čl. 4,</w:t>
      </w:r>
    </w:p>
    <w:p w14:paraId="590F6B2E" w14:textId="77777777" w:rsidR="00BC3DA7" w:rsidRDefault="00BC3DA7" w:rsidP="00BC3DA7">
      <w:pPr>
        <w:pStyle w:val="Odsekzoznamu"/>
        <w:numPr>
          <w:ilvl w:val="0"/>
          <w:numId w:val="31"/>
        </w:numPr>
        <w:ind w:left="426" w:right="-142" w:hanging="426"/>
        <w:jc w:val="both"/>
      </w:pPr>
      <w:r>
        <w:t>analýzu</w:t>
      </w:r>
      <w:r w:rsidRPr="00724C05">
        <w:t xml:space="preserve"> predpokladu prijímateľa splniť podmienky na poskytnutie investičnej pomoci spôso</w:t>
      </w:r>
      <w:r>
        <w:t>bom a v rozsahu podľa čl. 5,</w:t>
      </w:r>
    </w:p>
    <w:p w14:paraId="3F8FA844" w14:textId="77777777" w:rsidR="00BC3DA7" w:rsidRDefault="00BC3DA7" w:rsidP="00BC3DA7">
      <w:pPr>
        <w:pStyle w:val="Odsekzoznamu"/>
        <w:numPr>
          <w:ilvl w:val="0"/>
          <w:numId w:val="31"/>
        </w:numPr>
        <w:ind w:left="426" w:right="-142" w:hanging="426"/>
        <w:jc w:val="both"/>
      </w:pPr>
      <w:r>
        <w:t>analýzu</w:t>
      </w:r>
      <w:r w:rsidRPr="00724C05">
        <w:t xml:space="preserve"> predpokladu naplnenia parametrov investičného zámeru </w:t>
      </w:r>
      <w:r>
        <w:t xml:space="preserve">spôsobom a v </w:t>
      </w:r>
      <w:r w:rsidRPr="00724C05">
        <w:t xml:space="preserve">rozsahu podľa </w:t>
      </w:r>
      <w:r>
        <w:t>čl. 6</w:t>
      </w:r>
      <w:r w:rsidRPr="00724C05">
        <w:t>,</w:t>
      </w:r>
    </w:p>
    <w:p w14:paraId="05370968" w14:textId="77777777" w:rsidR="00BC3DA7" w:rsidRDefault="00BC3DA7" w:rsidP="00BC3DA7">
      <w:pPr>
        <w:pStyle w:val="Odsekzoznamu"/>
        <w:numPr>
          <w:ilvl w:val="0"/>
          <w:numId w:val="31"/>
        </w:numPr>
        <w:ind w:left="426" w:right="-142" w:hanging="426"/>
        <w:jc w:val="both"/>
      </w:pPr>
      <w:r>
        <w:t>analýzu</w:t>
      </w:r>
      <w:r w:rsidRPr="00724C05">
        <w:t xml:space="preserve"> vplyvu investičného zámeru na verejné financie spôsobom a v rozsahu podľa </w:t>
      </w:r>
      <w:r>
        <w:t>čl. 7</w:t>
      </w:r>
      <w:r w:rsidRPr="00724C05">
        <w:t>,</w:t>
      </w:r>
    </w:p>
    <w:p w14:paraId="2B707FF3" w14:textId="77777777" w:rsidR="00BC3DA7" w:rsidRDefault="00BC3DA7" w:rsidP="00BC3DA7">
      <w:pPr>
        <w:pStyle w:val="Odsekzoznamu"/>
        <w:numPr>
          <w:ilvl w:val="0"/>
          <w:numId w:val="31"/>
        </w:numPr>
        <w:ind w:left="426" w:right="-142" w:hanging="426"/>
        <w:jc w:val="both"/>
      </w:pPr>
      <w:r>
        <w:t xml:space="preserve">celkové </w:t>
      </w:r>
      <w:r w:rsidRPr="00724C05">
        <w:t xml:space="preserve">zhodnotenie žiadosti spôsobom a v rozsahu podľa </w:t>
      </w:r>
      <w:r>
        <w:t>čl. 8</w:t>
      </w:r>
      <w:r w:rsidRPr="00724C05">
        <w:t>,</w:t>
      </w:r>
    </w:p>
    <w:p w14:paraId="15E9445A" w14:textId="77777777" w:rsidR="00BC3DA7" w:rsidRPr="00724C05" w:rsidRDefault="00BC3DA7" w:rsidP="00BC3DA7">
      <w:pPr>
        <w:pStyle w:val="Odsekzoznamu"/>
        <w:numPr>
          <w:ilvl w:val="0"/>
          <w:numId w:val="31"/>
        </w:numPr>
        <w:ind w:left="425" w:right="-142" w:hanging="425"/>
        <w:contextualSpacing w:val="0"/>
        <w:jc w:val="both"/>
      </w:pPr>
      <w:r w:rsidRPr="00724C05">
        <w:t xml:space="preserve">výrok odborného posudku podľa </w:t>
      </w:r>
      <w:r>
        <w:t>čl. 9</w:t>
      </w:r>
      <w:r w:rsidRPr="00724C05">
        <w:t>.</w:t>
      </w:r>
    </w:p>
    <w:p w14:paraId="30EFF794" w14:textId="77777777" w:rsidR="00BC3DA7" w:rsidRPr="005615E5" w:rsidRDefault="00BC3DA7" w:rsidP="00BC3DA7">
      <w:pPr>
        <w:spacing w:before="360" w:after="120"/>
        <w:ind w:right="-142"/>
        <w:jc w:val="center"/>
        <w:outlineLvl w:val="0"/>
        <w:rPr>
          <w:b/>
        </w:rPr>
      </w:pPr>
      <w:r w:rsidRPr="00724C05">
        <w:rPr>
          <w:b/>
        </w:rPr>
        <w:t>Čl. 3</w:t>
      </w:r>
      <w:r w:rsidRPr="00724C05">
        <w:rPr>
          <w:b/>
        </w:rPr>
        <w:br/>
        <w:t xml:space="preserve">Charakteristika </w:t>
      </w:r>
      <w:bookmarkStart w:id="0" w:name="_Toc420309644"/>
      <w:r w:rsidRPr="00724C05">
        <w:rPr>
          <w:b/>
        </w:rPr>
        <w:t>prijímateľa a </w:t>
      </w:r>
      <w:r>
        <w:rPr>
          <w:b/>
        </w:rPr>
        <w:t>p</w:t>
      </w:r>
      <w:r w:rsidRPr="00724C05">
        <w:rPr>
          <w:b/>
        </w:rPr>
        <w:t>opis investičného zámeru</w:t>
      </w:r>
    </w:p>
    <w:p w14:paraId="00F9BC2A" w14:textId="77777777" w:rsidR="00BC3DA7" w:rsidRPr="00724C05" w:rsidRDefault="00BC3DA7" w:rsidP="00BC3DA7">
      <w:pPr>
        <w:numPr>
          <w:ilvl w:val="0"/>
          <w:numId w:val="15"/>
        </w:numPr>
        <w:spacing w:after="60"/>
        <w:ind w:left="425" w:right="-142" w:hanging="425"/>
        <w:jc w:val="both"/>
      </w:pPr>
      <w:r w:rsidRPr="00724C05">
        <w:t>Charakteristika prijímateľa zahŕňa:</w:t>
      </w:r>
    </w:p>
    <w:p w14:paraId="07B4511B" w14:textId="77777777" w:rsidR="00BC3DA7" w:rsidRDefault="00BC3DA7" w:rsidP="00BC3DA7">
      <w:pPr>
        <w:numPr>
          <w:ilvl w:val="0"/>
          <w:numId w:val="10"/>
        </w:numPr>
        <w:ind w:left="851" w:right="-142" w:hanging="425"/>
        <w:jc w:val="both"/>
      </w:pPr>
      <w:r>
        <w:t>identifikačné údaje prijímateľa,</w:t>
      </w:r>
    </w:p>
    <w:p w14:paraId="2B9834FB" w14:textId="77777777" w:rsidR="00BC3DA7" w:rsidRDefault="00BC3DA7" w:rsidP="00BC3DA7">
      <w:pPr>
        <w:numPr>
          <w:ilvl w:val="0"/>
          <w:numId w:val="10"/>
        </w:numPr>
        <w:ind w:left="851" w:right="-142" w:hanging="425"/>
        <w:jc w:val="both"/>
      </w:pPr>
      <w:r>
        <w:t xml:space="preserve">dátum vzniku prijímateľa, </w:t>
      </w:r>
    </w:p>
    <w:p w14:paraId="09353AB2" w14:textId="77777777" w:rsidR="00BC3DA7" w:rsidRPr="00724C05" w:rsidRDefault="00BC3DA7" w:rsidP="00BC3DA7">
      <w:pPr>
        <w:numPr>
          <w:ilvl w:val="0"/>
          <w:numId w:val="10"/>
        </w:numPr>
        <w:ind w:left="851" w:right="-142" w:hanging="425"/>
        <w:jc w:val="both"/>
      </w:pPr>
      <w:r w:rsidRPr="00724C05">
        <w:t>právn</w:t>
      </w:r>
      <w:r>
        <w:t>u</w:t>
      </w:r>
      <w:r w:rsidRPr="00724C05">
        <w:t xml:space="preserve"> form</w:t>
      </w:r>
      <w:r>
        <w:t>u</w:t>
      </w:r>
      <w:r w:rsidRPr="00724C05">
        <w:t xml:space="preserve"> prijímateľa, </w:t>
      </w:r>
    </w:p>
    <w:p w14:paraId="5A196EA8" w14:textId="77777777" w:rsidR="00BC3DA7" w:rsidRPr="00724C05" w:rsidRDefault="00BC3DA7" w:rsidP="00BC3DA7">
      <w:pPr>
        <w:numPr>
          <w:ilvl w:val="0"/>
          <w:numId w:val="10"/>
        </w:numPr>
        <w:ind w:left="851" w:right="-142" w:hanging="425"/>
        <w:jc w:val="both"/>
      </w:pPr>
      <w:r w:rsidRPr="00724C05">
        <w:t xml:space="preserve">predmet podnikania prijímateľa, </w:t>
      </w:r>
    </w:p>
    <w:p w14:paraId="1CB6F6C4" w14:textId="77777777" w:rsidR="00BC3DA7" w:rsidRPr="00724C05" w:rsidRDefault="00BC3DA7" w:rsidP="00BC3DA7">
      <w:pPr>
        <w:numPr>
          <w:ilvl w:val="0"/>
          <w:numId w:val="10"/>
        </w:numPr>
        <w:ind w:left="851" w:right="-142" w:hanging="425"/>
        <w:jc w:val="both"/>
      </w:pPr>
      <w:r>
        <w:t>hlavnú</w:t>
      </w:r>
      <w:r w:rsidRPr="00724C05">
        <w:t xml:space="preserve"> činnosť prijímateľa podľa štatistickej klasifikácie ekonomických činností SK</w:t>
      </w:r>
      <w:r>
        <w:t> </w:t>
      </w:r>
      <w:r w:rsidRPr="00724C05">
        <w:t xml:space="preserve">NACE v platnom znení, </w:t>
      </w:r>
    </w:p>
    <w:p w14:paraId="32258330" w14:textId="77777777" w:rsidR="00BC3DA7" w:rsidRDefault="00BC3DA7" w:rsidP="00BC3DA7">
      <w:pPr>
        <w:numPr>
          <w:ilvl w:val="0"/>
          <w:numId w:val="10"/>
        </w:numPr>
        <w:ind w:left="851" w:right="-142" w:hanging="425"/>
        <w:jc w:val="both"/>
      </w:pPr>
      <w:r w:rsidRPr="00724C05">
        <w:t>veľkosť podniku podľa osobitného predpisu</w:t>
      </w:r>
      <w:r>
        <w:t>,</w:t>
      </w:r>
      <w:r w:rsidRPr="00724C05">
        <w:rPr>
          <w:vertAlign w:val="superscript"/>
        </w:rPr>
        <w:footnoteReference w:id="3"/>
      </w:r>
      <w:r>
        <w:t>)</w:t>
      </w:r>
    </w:p>
    <w:p w14:paraId="642694F0" w14:textId="77777777" w:rsidR="00BC3DA7" w:rsidRPr="00724C05" w:rsidRDefault="00BC3DA7" w:rsidP="00BC3DA7">
      <w:pPr>
        <w:numPr>
          <w:ilvl w:val="0"/>
          <w:numId w:val="10"/>
        </w:numPr>
        <w:ind w:left="851" w:right="-142" w:hanging="425"/>
        <w:jc w:val="both"/>
      </w:pPr>
      <w:r>
        <w:t>údaj o právnych predchodcoch prijímateľa,</w:t>
      </w:r>
    </w:p>
    <w:p w14:paraId="372CA67C" w14:textId="77777777" w:rsidR="00BC3DA7" w:rsidRPr="00724C05" w:rsidRDefault="00BC3DA7" w:rsidP="00BC3DA7">
      <w:pPr>
        <w:numPr>
          <w:ilvl w:val="0"/>
          <w:numId w:val="10"/>
        </w:numPr>
        <w:spacing w:after="240"/>
        <w:ind w:left="850" w:right="-142" w:hanging="425"/>
        <w:jc w:val="both"/>
      </w:pPr>
      <w:r w:rsidRPr="00724C05">
        <w:t>úd</w:t>
      </w:r>
      <w:r>
        <w:t>aj o štátnej pomoci</w:t>
      </w:r>
      <w:r w:rsidRPr="00724C05">
        <w:t xml:space="preserve"> alebo minimálnej pomoci </w:t>
      </w:r>
      <w:r>
        <w:t xml:space="preserve">poskytnutej </w:t>
      </w:r>
      <w:r w:rsidRPr="00724C05">
        <w:t>p</w:t>
      </w:r>
      <w:r>
        <w:t>rijímateľovi, partnerským</w:t>
      </w:r>
      <w:r w:rsidRPr="00724C05">
        <w:t xml:space="preserve"> a prepojeným podnikom</w:t>
      </w:r>
      <w:r>
        <w:t xml:space="preserve"> prijímateľa</w:t>
      </w:r>
      <w:r w:rsidRPr="005615E5">
        <w:rPr>
          <w:vertAlign w:val="superscript"/>
        </w:rPr>
        <w:footnoteReference w:id="4"/>
      </w:r>
      <w:r>
        <w:t>) a právnym predchodcom prijímateľa.</w:t>
      </w:r>
    </w:p>
    <w:p w14:paraId="46FBC115" w14:textId="77777777" w:rsidR="00BC3DA7" w:rsidRPr="00724C05" w:rsidRDefault="00BC3DA7" w:rsidP="00BC3DA7">
      <w:pPr>
        <w:numPr>
          <w:ilvl w:val="0"/>
          <w:numId w:val="14"/>
        </w:numPr>
        <w:spacing w:after="60"/>
        <w:ind w:left="425" w:right="-142" w:hanging="425"/>
        <w:jc w:val="both"/>
      </w:pPr>
      <w:r>
        <w:t>Po</w:t>
      </w:r>
      <w:r w:rsidRPr="00724C05">
        <w:t>pis investičného zámeru zahŕňa:</w:t>
      </w:r>
    </w:p>
    <w:p w14:paraId="432B1AE5" w14:textId="77777777" w:rsidR="00BC3DA7" w:rsidRPr="00D66E4C" w:rsidRDefault="00BC3DA7" w:rsidP="00BC3DA7">
      <w:pPr>
        <w:numPr>
          <w:ilvl w:val="0"/>
          <w:numId w:val="39"/>
        </w:numPr>
        <w:ind w:left="851" w:right="-142" w:hanging="425"/>
        <w:jc w:val="both"/>
      </w:pPr>
      <w:r w:rsidRPr="00724C05">
        <w:t xml:space="preserve">názov </w:t>
      </w:r>
      <w:r w:rsidRPr="00D66E4C">
        <w:t>investičného zámeru</w:t>
      </w:r>
      <w:bookmarkEnd w:id="0"/>
      <w:r w:rsidRPr="00D66E4C">
        <w:t>,</w:t>
      </w:r>
    </w:p>
    <w:p w14:paraId="67B39BFB" w14:textId="77777777" w:rsidR="00BC3DA7" w:rsidRPr="00D66E4C" w:rsidRDefault="00BC3DA7" w:rsidP="00BC3DA7">
      <w:pPr>
        <w:numPr>
          <w:ilvl w:val="0"/>
          <w:numId w:val="39"/>
        </w:numPr>
        <w:ind w:left="851" w:right="-142" w:hanging="425"/>
        <w:jc w:val="both"/>
      </w:pPr>
      <w:r w:rsidRPr="00D66E4C">
        <w:t>charakter</w:t>
      </w:r>
      <w:r>
        <w:t>istiku</w:t>
      </w:r>
      <w:r w:rsidRPr="00D66E4C">
        <w:t xml:space="preserve"> a typ investičného zámeru,</w:t>
      </w:r>
      <w:r w:rsidRPr="00D66E4C">
        <w:rPr>
          <w:vertAlign w:val="superscript"/>
        </w:rPr>
        <w:footnoteReference w:id="5"/>
      </w:r>
      <w:r w:rsidRPr="00D66E4C">
        <w:t xml:space="preserve">) </w:t>
      </w:r>
    </w:p>
    <w:p w14:paraId="7073CF63" w14:textId="77777777" w:rsidR="00BC3DA7" w:rsidRPr="00D66E4C" w:rsidRDefault="00BC3DA7" w:rsidP="00BC3DA7">
      <w:pPr>
        <w:numPr>
          <w:ilvl w:val="0"/>
          <w:numId w:val="39"/>
        </w:numPr>
        <w:ind w:left="851" w:right="-142" w:hanging="425"/>
        <w:jc w:val="both"/>
      </w:pPr>
      <w:r>
        <w:t>lokalitu</w:t>
      </w:r>
      <w:r w:rsidRPr="00D66E4C">
        <w:t xml:space="preserve"> realizácie investičného zámeru,</w:t>
      </w:r>
    </w:p>
    <w:p w14:paraId="25E7F5B0" w14:textId="77777777" w:rsidR="00BC3DA7" w:rsidRPr="00724C05" w:rsidRDefault="00BC3DA7" w:rsidP="00BC3DA7">
      <w:pPr>
        <w:numPr>
          <w:ilvl w:val="0"/>
          <w:numId w:val="39"/>
        </w:numPr>
        <w:ind w:left="851" w:right="-142" w:hanging="425"/>
        <w:jc w:val="both"/>
      </w:pPr>
      <w:r w:rsidRPr="00D66E4C">
        <w:t>zameranie investičného</w:t>
      </w:r>
      <w:r w:rsidRPr="00724C05">
        <w:t xml:space="preserve"> zámeru podľa štatistickej klasifikácie ekonomických či</w:t>
      </w:r>
      <w:r>
        <w:t>nností SK NACE v platnom znení,</w:t>
      </w:r>
    </w:p>
    <w:p w14:paraId="4EC929FE" w14:textId="77777777" w:rsidR="00BC3DA7" w:rsidRPr="00724C05" w:rsidRDefault="00BC3DA7" w:rsidP="00BC3DA7">
      <w:pPr>
        <w:numPr>
          <w:ilvl w:val="0"/>
          <w:numId w:val="39"/>
        </w:numPr>
        <w:ind w:left="851" w:right="-142" w:hanging="425"/>
        <w:jc w:val="both"/>
      </w:pPr>
      <w:r>
        <w:t>posúdenie charakteru produktov</w:t>
      </w:r>
      <w:r w:rsidRPr="00724C05">
        <w:t xml:space="preserve"> aleb</w:t>
      </w:r>
      <w:r>
        <w:t xml:space="preserve">o služieb investičného zámeru z </w:t>
      </w:r>
      <w:r w:rsidRPr="00724C05">
        <w:t>pohľadu vyspelých technológií a náročnosti na poznatky</w:t>
      </w:r>
      <w:r>
        <w:t>,</w:t>
      </w:r>
    </w:p>
    <w:p w14:paraId="165CD2F0" w14:textId="77777777" w:rsidR="00BC3DA7" w:rsidRPr="00724C05" w:rsidRDefault="00BC3DA7" w:rsidP="00BC3DA7">
      <w:pPr>
        <w:numPr>
          <w:ilvl w:val="0"/>
          <w:numId w:val="39"/>
        </w:numPr>
        <w:ind w:left="851" w:right="-142" w:hanging="425"/>
        <w:jc w:val="both"/>
      </w:pPr>
      <w:r>
        <w:t>charakteristiku</w:t>
      </w:r>
      <w:r w:rsidRPr="00724C05">
        <w:t xml:space="preserve"> oprávnených nákladov</w:t>
      </w:r>
      <w:r>
        <w:t>,</w:t>
      </w:r>
      <w:r>
        <w:rPr>
          <w:rStyle w:val="Odkaznapoznmkupodiarou"/>
        </w:rPr>
        <w:footnoteReference w:id="6"/>
      </w:r>
      <w:r>
        <w:t>)</w:t>
      </w:r>
    </w:p>
    <w:p w14:paraId="0214F69E" w14:textId="77777777" w:rsidR="00BC3DA7" w:rsidRDefault="00BC3DA7" w:rsidP="00BC3DA7">
      <w:pPr>
        <w:numPr>
          <w:ilvl w:val="0"/>
          <w:numId w:val="39"/>
        </w:numPr>
        <w:ind w:left="851" w:right="-142" w:hanging="425"/>
        <w:jc w:val="both"/>
      </w:pPr>
      <w:r>
        <w:t>charakteristiku</w:t>
      </w:r>
      <w:r w:rsidRPr="00724C05">
        <w:t xml:space="preserve"> požadovanej investičnej pomoci podľa</w:t>
      </w:r>
      <w:r>
        <w:t xml:space="preserve"> </w:t>
      </w:r>
      <w:r w:rsidRPr="00724C05">
        <w:t>jednotlivých foriem</w:t>
      </w:r>
      <w:r>
        <w:t xml:space="preserve"> investičnej pomoci a ich výšky.</w:t>
      </w:r>
    </w:p>
    <w:p w14:paraId="7945AC10" w14:textId="77777777" w:rsidR="00BC3DA7" w:rsidRDefault="00BC3DA7" w:rsidP="00BC3DA7">
      <w:pPr>
        <w:ind w:right="-142"/>
        <w:jc w:val="both"/>
      </w:pPr>
    </w:p>
    <w:p w14:paraId="00E6E984" w14:textId="77777777" w:rsidR="00295AAC" w:rsidRDefault="00BC3DA7" w:rsidP="00295AAC">
      <w:pPr>
        <w:pStyle w:val="Odsekzoznamu"/>
        <w:numPr>
          <w:ilvl w:val="0"/>
          <w:numId w:val="14"/>
        </w:numPr>
        <w:ind w:left="426" w:right="-142" w:hanging="426"/>
        <w:jc w:val="both"/>
      </w:pPr>
      <w:r>
        <w:t>Z</w:t>
      </w:r>
      <w:r w:rsidRPr="00724C05">
        <w:t>áver kapitoly</w:t>
      </w:r>
      <w:r>
        <w:t xml:space="preserve"> podľa tohto článku, vrátane identifikácie </w:t>
      </w:r>
      <w:r w:rsidRPr="00724C05">
        <w:t>podstatných</w:t>
      </w:r>
      <w:r>
        <w:t xml:space="preserve"> rizík, ktoré môžu mať vplyv na </w:t>
      </w:r>
      <w:r w:rsidRPr="00724C05">
        <w:t>realizáciu investičného zámeru</w:t>
      </w:r>
      <w:r>
        <w:t>.</w:t>
      </w:r>
    </w:p>
    <w:p w14:paraId="35990F32" w14:textId="77777777" w:rsidR="00295AAC" w:rsidRDefault="00295AAC" w:rsidP="00295AAC">
      <w:pPr>
        <w:ind w:right="-142"/>
        <w:jc w:val="both"/>
      </w:pPr>
    </w:p>
    <w:p w14:paraId="4BE8CB61" w14:textId="77777777" w:rsidR="00295AAC" w:rsidRDefault="00295AAC" w:rsidP="00295AAC">
      <w:pPr>
        <w:ind w:right="-142"/>
        <w:jc w:val="both"/>
      </w:pPr>
    </w:p>
    <w:p w14:paraId="3CCF21DA" w14:textId="77777777" w:rsidR="00BC3DA7" w:rsidRPr="001656F7" w:rsidRDefault="00BC3DA7" w:rsidP="00BC3DA7">
      <w:pPr>
        <w:spacing w:before="360" w:after="120"/>
        <w:ind w:right="-142"/>
        <w:jc w:val="center"/>
        <w:outlineLvl w:val="0"/>
        <w:rPr>
          <w:b/>
        </w:rPr>
      </w:pPr>
      <w:r>
        <w:rPr>
          <w:b/>
        </w:rPr>
        <w:lastRenderedPageBreak/>
        <w:t>Čl. 4</w:t>
      </w:r>
      <w:r>
        <w:rPr>
          <w:b/>
        </w:rPr>
        <w:br/>
        <w:t>Zhodnotenie</w:t>
      </w:r>
      <w:r w:rsidRPr="00724C05">
        <w:rPr>
          <w:b/>
        </w:rPr>
        <w:t xml:space="preserve"> </w:t>
      </w:r>
      <w:r>
        <w:rPr>
          <w:b/>
        </w:rPr>
        <w:t>finančnej výkonnosti prijímateľa</w:t>
      </w:r>
      <w:r w:rsidRPr="00724C05">
        <w:rPr>
          <w:b/>
        </w:rPr>
        <w:t xml:space="preserve"> </w:t>
      </w:r>
    </w:p>
    <w:p w14:paraId="71528B53" w14:textId="77777777" w:rsidR="00BC3DA7" w:rsidRDefault="00BC3DA7" w:rsidP="00BC3DA7">
      <w:pPr>
        <w:spacing w:after="60"/>
        <w:ind w:right="-142"/>
        <w:jc w:val="both"/>
      </w:pPr>
      <w:r>
        <w:t>Zhodnotenie</w:t>
      </w:r>
      <w:r w:rsidRPr="00724C05">
        <w:t xml:space="preserve"> </w:t>
      </w:r>
      <w:r>
        <w:t>finančnej výkonnosti prijímateľa</w:t>
      </w:r>
      <w:r w:rsidRPr="00724C05">
        <w:t xml:space="preserve"> zahŕňa:</w:t>
      </w:r>
    </w:p>
    <w:p w14:paraId="06B7D4E9" w14:textId="77777777" w:rsidR="00BC3DA7" w:rsidRPr="007C05E4" w:rsidRDefault="00BC3DA7" w:rsidP="00BC3DA7">
      <w:pPr>
        <w:numPr>
          <w:ilvl w:val="0"/>
          <w:numId w:val="30"/>
        </w:numPr>
        <w:ind w:left="567" w:right="-142" w:hanging="425"/>
        <w:jc w:val="both"/>
      </w:pPr>
      <w:r>
        <w:t>a</w:t>
      </w:r>
      <w:r w:rsidRPr="007C05E4">
        <w:t xml:space="preserve">nalýzu majetkovej a finančnej štruktúry prijímateľa vrátane vertikálnej a horizontálnej analýzy za </w:t>
      </w:r>
      <w:r>
        <w:t>jedno až tri posledné účtovné obdobia, podľa doby podnikania prijímateľa,</w:t>
      </w:r>
    </w:p>
    <w:p w14:paraId="556F9588" w14:textId="77777777" w:rsidR="00BC3DA7" w:rsidRPr="007C05E4" w:rsidRDefault="00BC3DA7" w:rsidP="00BC3DA7">
      <w:pPr>
        <w:numPr>
          <w:ilvl w:val="0"/>
          <w:numId w:val="30"/>
        </w:numPr>
        <w:ind w:left="567" w:right="-142" w:hanging="425"/>
        <w:jc w:val="both"/>
      </w:pPr>
      <w:r>
        <w:t>a</w:t>
      </w:r>
      <w:r w:rsidRPr="007C05E4">
        <w:t xml:space="preserve">nalýzu štruktúry výnosov a nákladov prijímateľa vrátane vertikálnej a horizontálnej analýzy za </w:t>
      </w:r>
      <w:r>
        <w:t>jedno až tri posledné účtovné obdobia, podľa doby podnikania prijímateľa,</w:t>
      </w:r>
    </w:p>
    <w:p w14:paraId="34C866A9" w14:textId="77777777" w:rsidR="00BC3DA7" w:rsidRPr="007C05E4" w:rsidRDefault="00BC3DA7" w:rsidP="00BC3DA7">
      <w:pPr>
        <w:numPr>
          <w:ilvl w:val="0"/>
          <w:numId w:val="30"/>
        </w:numPr>
        <w:ind w:left="567" w:right="-142" w:hanging="425"/>
        <w:jc w:val="both"/>
      </w:pPr>
      <w:r>
        <w:t>analýzu</w:t>
      </w:r>
      <w:r w:rsidRPr="007C05E4">
        <w:t xml:space="preserve"> finančných pomerových ukazovateľov a to najmä ukazovatele rentability, ukazovatele aktivity, ukazovatele likvidity a ukazovatele zadlženosti</w:t>
      </w:r>
      <w:r>
        <w:t xml:space="preserve"> </w:t>
      </w:r>
      <w:r w:rsidRPr="007C05E4">
        <w:t xml:space="preserve">za </w:t>
      </w:r>
      <w:r>
        <w:t>jedno až tri posledné účtovné obdobia, podľa doby podnikania prijímateľa,</w:t>
      </w:r>
    </w:p>
    <w:p w14:paraId="07173C96" w14:textId="77777777" w:rsidR="00BC3DA7" w:rsidRPr="007C05E4" w:rsidRDefault="00BC3DA7" w:rsidP="00BC3DA7">
      <w:pPr>
        <w:numPr>
          <w:ilvl w:val="0"/>
          <w:numId w:val="30"/>
        </w:numPr>
        <w:ind w:left="567" w:right="-142" w:hanging="425"/>
        <w:jc w:val="both"/>
      </w:pPr>
      <w:r>
        <w:t>z</w:t>
      </w:r>
      <w:r w:rsidRPr="007C05E4">
        <w:t>hodnotenie prijímateľa podľa Indexu IN05</w:t>
      </w:r>
      <w:r>
        <w:t xml:space="preserve"> </w:t>
      </w:r>
      <w:r w:rsidRPr="007C05E4">
        <w:t xml:space="preserve">za </w:t>
      </w:r>
      <w:r>
        <w:t>jedno až tri posledné účtovné obdobia, podľa doby podnikania prijímateľa,</w:t>
      </w:r>
    </w:p>
    <w:p w14:paraId="217BFC25" w14:textId="77777777" w:rsidR="00BC3DA7" w:rsidRPr="007C05E4" w:rsidRDefault="00BC3DA7" w:rsidP="00BC3DA7">
      <w:pPr>
        <w:pStyle w:val="Odsekzoznamu"/>
        <w:numPr>
          <w:ilvl w:val="0"/>
          <w:numId w:val="30"/>
        </w:numPr>
        <w:ind w:left="567" w:right="-142" w:hanging="425"/>
        <w:jc w:val="both"/>
      </w:pPr>
      <w:r>
        <w:t>z</w:t>
      </w:r>
      <w:r w:rsidRPr="007C05E4">
        <w:t>hodnotenie prijímateľa na základe zlatého bilančného pravidla,</w:t>
      </w:r>
    </w:p>
    <w:p w14:paraId="2C84CD04" w14:textId="77777777" w:rsidR="00BC3DA7" w:rsidRPr="007C05E4" w:rsidRDefault="00BC3DA7" w:rsidP="00BC3DA7">
      <w:pPr>
        <w:pStyle w:val="Odsekzoznamu"/>
        <w:numPr>
          <w:ilvl w:val="0"/>
          <w:numId w:val="30"/>
        </w:numPr>
        <w:ind w:left="567" w:right="-142" w:hanging="425"/>
        <w:contextualSpacing w:val="0"/>
        <w:jc w:val="both"/>
      </w:pPr>
      <w:r>
        <w:t>a</w:t>
      </w:r>
      <w:r w:rsidRPr="007C05E4">
        <w:t>nalýzu spoločn</w:t>
      </w:r>
      <w:r>
        <w:t xml:space="preserve">íka prijímateľa, ktorý má najväčší </w:t>
      </w:r>
      <w:r w:rsidRPr="007C05E4">
        <w:t xml:space="preserve">podiel </w:t>
      </w:r>
      <w:r>
        <w:t>na základom imaní prijímateľa,</w:t>
      </w:r>
      <w:r w:rsidR="00D27B17">
        <w:t xml:space="preserve"> alebo na hlasovacích právach v </w:t>
      </w:r>
      <w:r w:rsidRPr="007C05E4">
        <w:t>prijímateľ</w:t>
      </w:r>
      <w:r>
        <w:t xml:space="preserve">ovi </w:t>
      </w:r>
      <w:r w:rsidRPr="007C05E4">
        <w:t xml:space="preserve">podľa písm. a) až </w:t>
      </w:r>
      <w:r>
        <w:t>e</w:t>
      </w:r>
      <w:r w:rsidRPr="007C05E4">
        <w:t>), ak prijímateľ podniká menej ako tri účtovné obdobia</w:t>
      </w:r>
      <w:r>
        <w:t>; ak má prijímateľ viacerých spoločníkov, ktorí majú rovnaký podiel na zákla</w:t>
      </w:r>
      <w:r w:rsidR="00D27B17">
        <w:t xml:space="preserve">dom imaní prijímateľa, alebo na </w:t>
      </w:r>
      <w:r>
        <w:t>hlasovacích právach v</w:t>
      </w:r>
      <w:r w:rsidR="001338C8">
        <w:t> </w:t>
      </w:r>
      <w:r>
        <w:t>prijímateľovi, predmetom analýzy podľa tohto písmen</w:t>
      </w:r>
      <w:r w:rsidR="00552179">
        <w:t>a</w:t>
      </w:r>
      <w:r>
        <w:t xml:space="preserve"> sú všetci spoločníci s rovnakým podielom,</w:t>
      </w:r>
    </w:p>
    <w:p w14:paraId="7DB9E76B" w14:textId="77777777" w:rsidR="00BC3DA7" w:rsidRPr="007C05E4" w:rsidRDefault="00BC3DA7" w:rsidP="00BC3DA7">
      <w:pPr>
        <w:pStyle w:val="Odsekzoznamu"/>
        <w:numPr>
          <w:ilvl w:val="0"/>
          <w:numId w:val="30"/>
        </w:numPr>
        <w:spacing w:after="160"/>
        <w:ind w:left="567" w:right="-142" w:hanging="425"/>
        <w:contextualSpacing w:val="0"/>
        <w:jc w:val="both"/>
      </w:pPr>
      <w:r>
        <w:t>z</w:t>
      </w:r>
      <w:r w:rsidRPr="007C05E4">
        <w:t>áver kapitoly podľa tohto článku, vrátane identifikácie podstatných rizík, ktoré môžu mať vplyv na realizáciu investičného zámeru.</w:t>
      </w:r>
    </w:p>
    <w:p w14:paraId="5FEFF353" w14:textId="77777777" w:rsidR="00BC3DA7" w:rsidRDefault="00BC3DA7" w:rsidP="00BC3DA7">
      <w:pPr>
        <w:spacing w:before="360" w:after="120"/>
        <w:ind w:right="-142"/>
        <w:jc w:val="center"/>
        <w:outlineLvl w:val="0"/>
        <w:rPr>
          <w:b/>
        </w:rPr>
      </w:pPr>
      <w:r>
        <w:rPr>
          <w:b/>
        </w:rPr>
        <w:t>Čl. 5</w:t>
      </w:r>
      <w:r>
        <w:rPr>
          <w:b/>
        </w:rPr>
        <w:br/>
        <w:t>A</w:t>
      </w:r>
      <w:r w:rsidRPr="00724C05">
        <w:rPr>
          <w:b/>
        </w:rPr>
        <w:t>nalýza predpokladu prijímateľa splniť podmienky na poskytnutie investičnej pomoci</w:t>
      </w:r>
    </w:p>
    <w:p w14:paraId="13568FF2" w14:textId="77777777" w:rsidR="00BC3DA7" w:rsidRPr="00012720" w:rsidRDefault="00BC3DA7" w:rsidP="00BC3DA7">
      <w:pPr>
        <w:spacing w:after="60"/>
        <w:ind w:right="-142"/>
        <w:jc w:val="center"/>
        <w:outlineLvl w:val="0"/>
      </w:pPr>
      <w:r w:rsidRPr="00012720">
        <w:t>Analýza predpokladu prijímateľa splniť podmienky na poskytnutie investičnej pomoci zahŕňa:</w:t>
      </w:r>
    </w:p>
    <w:p w14:paraId="7ADCF3C1" w14:textId="77777777" w:rsidR="00BC3DA7" w:rsidRPr="00724C05" w:rsidRDefault="00BC3DA7" w:rsidP="00BC3DA7">
      <w:pPr>
        <w:pStyle w:val="Odsekzoznamu"/>
        <w:numPr>
          <w:ilvl w:val="0"/>
          <w:numId w:val="42"/>
        </w:numPr>
        <w:ind w:left="567" w:right="-142" w:hanging="425"/>
        <w:jc w:val="both"/>
      </w:pPr>
      <w:r>
        <w:t xml:space="preserve">zhodnotenie, či žiadosť podala/nepodala osoba, ktorá nemôže byť </w:t>
      </w:r>
      <w:r w:rsidRPr="00724C05">
        <w:t>prijímateľom</w:t>
      </w:r>
      <w:r>
        <w:t>,</w:t>
      </w:r>
      <w:r w:rsidRPr="00724C05">
        <w:rPr>
          <w:vertAlign w:val="superscript"/>
        </w:rPr>
        <w:footnoteReference w:id="7"/>
      </w:r>
      <w:r>
        <w:t>)</w:t>
      </w:r>
    </w:p>
    <w:p w14:paraId="09801FD6" w14:textId="77777777" w:rsidR="00BC3DA7" w:rsidRPr="00724C05" w:rsidRDefault="00BC3DA7" w:rsidP="00BC3DA7">
      <w:pPr>
        <w:pStyle w:val="Odsekzoznamu"/>
        <w:numPr>
          <w:ilvl w:val="0"/>
          <w:numId w:val="42"/>
        </w:numPr>
        <w:ind w:left="567" w:right="-142" w:hanging="425"/>
        <w:jc w:val="both"/>
      </w:pPr>
      <w:r w:rsidRPr="00724C05">
        <w:t xml:space="preserve">zhodnotenie predpokladu </w:t>
      </w:r>
      <w:r>
        <w:t>s</w:t>
      </w:r>
      <w:r w:rsidRPr="00724C05">
        <w:t>plnenia podmienok na poskytnutie investičnej pomoci</w:t>
      </w:r>
      <w:r>
        <w:t>,</w:t>
      </w:r>
      <w:r w:rsidRPr="00724C05">
        <w:rPr>
          <w:vertAlign w:val="superscript"/>
        </w:rPr>
        <w:footnoteReference w:id="8"/>
      </w:r>
      <w:r>
        <w:t>)</w:t>
      </w:r>
    </w:p>
    <w:p w14:paraId="13521DCD" w14:textId="77777777" w:rsidR="00BC3DA7" w:rsidRDefault="00BC3DA7" w:rsidP="00BC3DA7">
      <w:pPr>
        <w:pStyle w:val="Odsekzoznamu"/>
        <w:numPr>
          <w:ilvl w:val="0"/>
          <w:numId w:val="42"/>
        </w:numPr>
        <w:spacing w:after="160"/>
        <w:ind w:left="567" w:right="-142" w:hanging="425"/>
        <w:contextualSpacing w:val="0"/>
        <w:jc w:val="both"/>
      </w:pPr>
      <w:r>
        <w:t>záver kapitoly podľa tohto článku, vrátane identifikácie podstatných rizík, ktoré môžu mať vplyv na realizáciu investičného zámeru.</w:t>
      </w:r>
    </w:p>
    <w:p w14:paraId="504DF8C5" w14:textId="77777777" w:rsidR="00BC3DA7" w:rsidRPr="00724C05" w:rsidRDefault="00BC3DA7" w:rsidP="00BC3DA7">
      <w:pPr>
        <w:spacing w:before="360" w:after="120"/>
        <w:ind w:right="-142"/>
        <w:jc w:val="center"/>
        <w:outlineLvl w:val="0"/>
        <w:rPr>
          <w:b/>
        </w:rPr>
      </w:pPr>
      <w:r>
        <w:rPr>
          <w:b/>
        </w:rPr>
        <w:t>Čl. 6</w:t>
      </w:r>
      <w:r>
        <w:rPr>
          <w:b/>
        </w:rPr>
        <w:br/>
        <w:t>A</w:t>
      </w:r>
      <w:r w:rsidRPr="00724C05">
        <w:rPr>
          <w:b/>
        </w:rPr>
        <w:t xml:space="preserve">nalýza predpokladu naplnenia parametrov investičného zámeru </w:t>
      </w:r>
    </w:p>
    <w:p w14:paraId="5A4D795A" w14:textId="77777777" w:rsidR="00BC3DA7" w:rsidRPr="00724C05" w:rsidRDefault="00BC3DA7" w:rsidP="00BC3DA7">
      <w:pPr>
        <w:spacing w:after="60"/>
        <w:ind w:right="-142"/>
        <w:jc w:val="both"/>
      </w:pPr>
      <w:r w:rsidRPr="00724C05">
        <w:t>Analýza predpokladu naplnenia parametrov investičného zámeru zahŕňa:</w:t>
      </w:r>
    </w:p>
    <w:p w14:paraId="69355F17" w14:textId="77777777" w:rsidR="00BC3DA7" w:rsidRPr="00724C05" w:rsidRDefault="00BC3DA7" w:rsidP="00BC3DA7">
      <w:pPr>
        <w:numPr>
          <w:ilvl w:val="0"/>
          <w:numId w:val="32"/>
        </w:numPr>
        <w:ind w:left="567" w:right="-142" w:hanging="425"/>
        <w:jc w:val="both"/>
      </w:pPr>
      <w:r w:rsidRPr="00724C05">
        <w:t>zhodnotenie finančného krytia investičného zámeru</w:t>
      </w:r>
      <w:r>
        <w:t>,</w:t>
      </w:r>
    </w:p>
    <w:p w14:paraId="3F8DD6B0" w14:textId="77777777" w:rsidR="00BC3DA7" w:rsidRPr="00724C05" w:rsidRDefault="00BC3DA7" w:rsidP="00BC3DA7">
      <w:pPr>
        <w:numPr>
          <w:ilvl w:val="0"/>
          <w:numId w:val="32"/>
        </w:numPr>
        <w:ind w:left="567" w:right="-142" w:hanging="425"/>
        <w:jc w:val="both"/>
      </w:pPr>
      <w:r w:rsidRPr="00724C05">
        <w:t>zhodnotenie investičného zámeru na základe indexu ziskovosti</w:t>
      </w:r>
      <w:r>
        <w:t>,</w:t>
      </w:r>
    </w:p>
    <w:p w14:paraId="3F71F5E7" w14:textId="77777777" w:rsidR="00BC3DA7" w:rsidRPr="00724C05" w:rsidRDefault="00BC3DA7" w:rsidP="00BC3DA7">
      <w:pPr>
        <w:numPr>
          <w:ilvl w:val="0"/>
          <w:numId w:val="32"/>
        </w:numPr>
        <w:ind w:left="567" w:right="-142" w:hanging="425"/>
        <w:jc w:val="both"/>
      </w:pPr>
      <w:r w:rsidRPr="00724C05">
        <w:t>zhodnotenie doby návratnosti investície</w:t>
      </w:r>
      <w:r>
        <w:t>,</w:t>
      </w:r>
    </w:p>
    <w:p w14:paraId="11F38233" w14:textId="77777777" w:rsidR="00295AAC" w:rsidRPr="008F498A" w:rsidRDefault="00BC3DA7" w:rsidP="00720CEC">
      <w:pPr>
        <w:numPr>
          <w:ilvl w:val="0"/>
          <w:numId w:val="32"/>
        </w:numPr>
        <w:ind w:left="567" w:right="-142" w:hanging="425"/>
        <w:jc w:val="both"/>
      </w:pPr>
      <w:r>
        <w:t>z</w:t>
      </w:r>
      <w:r w:rsidRPr="00724C05">
        <w:t>áver kapitoly</w:t>
      </w:r>
      <w:r>
        <w:t xml:space="preserve"> podľa tohto článku</w:t>
      </w:r>
      <w:r w:rsidRPr="00724C05">
        <w:t xml:space="preserve">, vrátane </w:t>
      </w:r>
      <w:r>
        <w:t>identifikácie</w:t>
      </w:r>
      <w:r w:rsidRPr="00724C05">
        <w:t xml:space="preserve"> podstatných</w:t>
      </w:r>
      <w:r>
        <w:t xml:space="preserve"> rizík, ktoré môžu mať vplyv na </w:t>
      </w:r>
      <w:r w:rsidRPr="00724C05">
        <w:t>realizáciu investičného zámeru</w:t>
      </w:r>
      <w:r>
        <w:t>.</w:t>
      </w:r>
    </w:p>
    <w:p w14:paraId="45D6ABDA" w14:textId="77777777" w:rsidR="00BC3DA7" w:rsidRPr="00724C05" w:rsidRDefault="00BC3DA7" w:rsidP="00BC3DA7">
      <w:pPr>
        <w:spacing w:before="360" w:after="120"/>
        <w:ind w:right="-142"/>
        <w:jc w:val="center"/>
        <w:outlineLvl w:val="0"/>
        <w:rPr>
          <w:b/>
        </w:rPr>
      </w:pPr>
      <w:r>
        <w:rPr>
          <w:b/>
        </w:rPr>
        <w:t>Čl. 7</w:t>
      </w:r>
      <w:r>
        <w:rPr>
          <w:b/>
        </w:rPr>
        <w:br/>
        <w:t>A</w:t>
      </w:r>
      <w:r w:rsidRPr="00724C05">
        <w:rPr>
          <w:b/>
        </w:rPr>
        <w:t xml:space="preserve">nalýza vplyvu investičného zámeru na verejné financie </w:t>
      </w:r>
    </w:p>
    <w:p w14:paraId="578BB56B" w14:textId="77777777" w:rsidR="00BC3DA7" w:rsidRPr="00724C05" w:rsidRDefault="00BC3DA7" w:rsidP="00BC3DA7">
      <w:pPr>
        <w:spacing w:after="60"/>
        <w:ind w:right="-142"/>
        <w:jc w:val="both"/>
      </w:pPr>
      <w:r w:rsidRPr="00724C05">
        <w:t>Analýza vplyvu investičného zámeru na verejné financie zahŕňa:</w:t>
      </w:r>
    </w:p>
    <w:p w14:paraId="25BBA0F1" w14:textId="77777777" w:rsidR="00BC3DA7" w:rsidRDefault="00BC3DA7" w:rsidP="00BC3DA7">
      <w:pPr>
        <w:pStyle w:val="Odsekzoznamu"/>
        <w:numPr>
          <w:ilvl w:val="0"/>
          <w:numId w:val="33"/>
        </w:numPr>
        <w:ind w:left="426" w:right="-142" w:hanging="426"/>
      </w:pPr>
      <w:r>
        <w:t>o</w:t>
      </w:r>
      <w:r w:rsidRPr="00724C05">
        <w:t>dhad príjmov verejnej správy prostredníctvom:</w:t>
      </w:r>
    </w:p>
    <w:p w14:paraId="2A19F393" w14:textId="77777777" w:rsidR="00BC3DA7" w:rsidRPr="00724C05" w:rsidRDefault="00BC3DA7" w:rsidP="00BC3DA7">
      <w:pPr>
        <w:numPr>
          <w:ilvl w:val="0"/>
          <w:numId w:val="34"/>
        </w:numPr>
        <w:ind w:left="709" w:right="-142" w:hanging="283"/>
        <w:jc w:val="both"/>
      </w:pPr>
      <w:r>
        <w:t>dane</w:t>
      </w:r>
      <w:r w:rsidRPr="00724C05">
        <w:t xml:space="preserve"> z príjmov právnických osôb,</w:t>
      </w:r>
    </w:p>
    <w:p w14:paraId="40A226D1" w14:textId="77777777" w:rsidR="00BC3DA7" w:rsidRPr="00724C05" w:rsidRDefault="00BC3DA7" w:rsidP="00BC3DA7">
      <w:pPr>
        <w:numPr>
          <w:ilvl w:val="0"/>
          <w:numId w:val="34"/>
        </w:numPr>
        <w:ind w:left="709" w:right="-142" w:hanging="283"/>
        <w:jc w:val="both"/>
      </w:pPr>
      <w:r>
        <w:t>dane</w:t>
      </w:r>
      <w:r w:rsidRPr="00724C05">
        <w:t xml:space="preserve"> z príjmov fyzických osôb,</w:t>
      </w:r>
    </w:p>
    <w:p w14:paraId="27B806A7" w14:textId="77777777" w:rsidR="00BC3DA7" w:rsidRPr="00724C05" w:rsidRDefault="00BC3DA7" w:rsidP="00BC3DA7">
      <w:pPr>
        <w:numPr>
          <w:ilvl w:val="0"/>
          <w:numId w:val="34"/>
        </w:numPr>
        <w:ind w:left="709" w:right="-142" w:hanging="283"/>
        <w:jc w:val="both"/>
      </w:pPr>
      <w:r w:rsidRPr="00724C05">
        <w:lastRenderedPageBreak/>
        <w:t>poistn</w:t>
      </w:r>
      <w:r>
        <w:t>ého</w:t>
      </w:r>
      <w:r w:rsidRPr="00724C05">
        <w:t xml:space="preserve"> na verejné zdravotné poistenie, poistn</w:t>
      </w:r>
      <w:r>
        <w:t>ého na sociálne poistenie</w:t>
      </w:r>
      <w:r>
        <w:br/>
        <w:t xml:space="preserve">a na </w:t>
      </w:r>
      <w:r w:rsidRPr="00724C05">
        <w:t>povinných príspevkoch na starobné dôchodkové sporenie,</w:t>
      </w:r>
    </w:p>
    <w:p w14:paraId="59E40FA1" w14:textId="77777777" w:rsidR="00BC3DA7" w:rsidRDefault="00BC3DA7" w:rsidP="00BC3DA7">
      <w:pPr>
        <w:numPr>
          <w:ilvl w:val="0"/>
          <w:numId w:val="34"/>
        </w:numPr>
        <w:spacing w:after="40"/>
        <w:ind w:left="709" w:right="-142" w:hanging="283"/>
        <w:jc w:val="both"/>
      </w:pPr>
      <w:r>
        <w:t>miestnych daní,</w:t>
      </w:r>
    </w:p>
    <w:p w14:paraId="1D3880F6" w14:textId="77777777" w:rsidR="00BC3DA7" w:rsidRDefault="00BC3DA7" w:rsidP="00BC3DA7">
      <w:pPr>
        <w:pStyle w:val="Odsekzoznamu"/>
        <w:numPr>
          <w:ilvl w:val="0"/>
          <w:numId w:val="33"/>
        </w:numPr>
        <w:spacing w:after="40"/>
        <w:ind w:left="425" w:right="-142" w:hanging="425"/>
        <w:contextualSpacing w:val="0"/>
        <w:jc w:val="both"/>
      </w:pPr>
      <w:r>
        <w:t>zhrnutie výdavkov</w:t>
      </w:r>
      <w:r w:rsidRPr="00724C05">
        <w:t xml:space="preserve"> verejnej správy </w:t>
      </w:r>
      <w:r>
        <w:t>vo forme</w:t>
      </w:r>
      <w:r w:rsidRPr="00724C05">
        <w:t xml:space="preserve"> investičnej pomoci</w:t>
      </w:r>
      <w:r>
        <w:t xml:space="preserve"> požadovanej na investičný zámer,</w:t>
      </w:r>
    </w:p>
    <w:p w14:paraId="1BB81F4E" w14:textId="77777777" w:rsidR="00BC3DA7" w:rsidRPr="00724C05" w:rsidRDefault="00BC3DA7" w:rsidP="00BC3DA7">
      <w:pPr>
        <w:pStyle w:val="Odsekzoznamu"/>
        <w:numPr>
          <w:ilvl w:val="0"/>
          <w:numId w:val="33"/>
        </w:numPr>
        <w:ind w:left="425" w:right="-142" w:hanging="425"/>
        <w:contextualSpacing w:val="0"/>
        <w:jc w:val="both"/>
      </w:pPr>
      <w:r w:rsidRPr="00724C05">
        <w:t>záver kapitoly</w:t>
      </w:r>
      <w:r>
        <w:t xml:space="preserve"> podľa tohto článku</w:t>
      </w:r>
      <w:r w:rsidRPr="00724C05">
        <w:t xml:space="preserve">, vrátane </w:t>
      </w:r>
      <w:r>
        <w:t>identifikácie</w:t>
      </w:r>
      <w:r w:rsidRPr="00724C05">
        <w:t xml:space="preserve"> podstatných rizík, ktoré môžu mať vplyv na realizáciu investičného zámeru</w:t>
      </w:r>
      <w:r>
        <w:t>.</w:t>
      </w:r>
    </w:p>
    <w:p w14:paraId="0195C72F" w14:textId="77777777" w:rsidR="00BC3DA7" w:rsidRPr="00724C05" w:rsidRDefault="00BC3DA7" w:rsidP="00BC3DA7">
      <w:pPr>
        <w:spacing w:before="360" w:after="120"/>
        <w:ind w:right="-142"/>
        <w:jc w:val="center"/>
        <w:outlineLvl w:val="0"/>
        <w:rPr>
          <w:b/>
        </w:rPr>
      </w:pPr>
      <w:r w:rsidRPr="00724C05">
        <w:rPr>
          <w:b/>
        </w:rPr>
        <w:t>Čl</w:t>
      </w:r>
      <w:r>
        <w:rPr>
          <w:b/>
        </w:rPr>
        <w:t>. 8</w:t>
      </w:r>
      <w:r>
        <w:rPr>
          <w:b/>
        </w:rPr>
        <w:br/>
        <w:t>C</w:t>
      </w:r>
      <w:r w:rsidRPr="00724C05">
        <w:rPr>
          <w:b/>
        </w:rPr>
        <w:t>elkové zhodnotenie žiadosti</w:t>
      </w:r>
    </w:p>
    <w:p w14:paraId="6A07135D" w14:textId="77777777" w:rsidR="00BC3DA7" w:rsidRPr="007C05E4" w:rsidRDefault="00BC3DA7" w:rsidP="00BC3DA7">
      <w:pPr>
        <w:spacing w:after="60"/>
        <w:ind w:right="-142"/>
      </w:pPr>
      <w:r w:rsidRPr="007C05E4">
        <w:t>Celkové zhodnotenie žiadosti zahŕňa:</w:t>
      </w:r>
    </w:p>
    <w:p w14:paraId="2C7EC6F5" w14:textId="77777777" w:rsidR="00BC3DA7" w:rsidRPr="007C05E4" w:rsidRDefault="00BC3DA7" w:rsidP="00BC3DA7">
      <w:pPr>
        <w:numPr>
          <w:ilvl w:val="0"/>
          <w:numId w:val="13"/>
        </w:numPr>
        <w:ind w:left="426" w:right="-142" w:hanging="426"/>
        <w:jc w:val="both"/>
      </w:pPr>
      <w:r w:rsidRPr="007C05E4">
        <w:t>hodnotenie predpokladu prijímateľa splniť podmienky na poskytnutie investičnej pomoci</w:t>
      </w:r>
      <w:r>
        <w:t xml:space="preserve"> a </w:t>
      </w:r>
      <w:r w:rsidRPr="007C05E4">
        <w:t>predpokladu naplnenia parametrov investičného zámeru, pričom bodové hodnotenie je uvedené v tabuľke č. 1</w:t>
      </w:r>
      <w:r w:rsidR="00552179">
        <w:t>.</w:t>
      </w:r>
      <w:r w:rsidRPr="007C05E4">
        <w:t xml:space="preserve"> Ak prijímateľ dosiahne v hodnotení podľa tohto písmena najmenej 3,5 bodu a zároveň vo všetkých parametroch dosiahne viac ako 0 bodov, hodnotiteľ vydá kladný výrok podľa č</w:t>
      </w:r>
      <w:r>
        <w:t>l. 9</w:t>
      </w:r>
      <w:r w:rsidRPr="007C05E4">
        <w:t xml:space="preserve"> ods. 1 písm. a). V opačnom prípade hodnotiteľ vydá záporný výrok podľa č</w:t>
      </w:r>
      <w:r>
        <w:t>l. 9</w:t>
      </w:r>
      <w:r w:rsidRPr="007C05E4">
        <w:t xml:space="preserve"> ods. 1 písm. b).</w:t>
      </w:r>
    </w:p>
    <w:p w14:paraId="16A360B9" w14:textId="77777777" w:rsidR="00BC3DA7" w:rsidRPr="00724C05" w:rsidRDefault="00BC3DA7" w:rsidP="00BC3DA7">
      <w:pPr>
        <w:ind w:right="-142"/>
        <w:jc w:val="both"/>
      </w:pPr>
    </w:p>
    <w:p w14:paraId="14C26A22" w14:textId="77777777" w:rsidR="00BC3DA7" w:rsidRDefault="00BC3DA7" w:rsidP="00BC3DA7">
      <w:pPr>
        <w:spacing w:after="60"/>
        <w:ind w:right="-142"/>
        <w:jc w:val="both"/>
      </w:pPr>
      <w:r>
        <w:t xml:space="preserve">Tab. č. 1: Bodové hodnotenie k </w:t>
      </w:r>
      <w:r w:rsidRPr="002B028E">
        <w:t>predpokladu prijímateľa splniť podmienky na poskytnutie investičnej pomoci a</w:t>
      </w:r>
      <w:r>
        <w:t xml:space="preserve"> k </w:t>
      </w:r>
      <w:r w:rsidRPr="002B028E">
        <w:t xml:space="preserve">predpokladu naplnenia parametrov investičného zámeru </w:t>
      </w:r>
    </w:p>
    <w:p w14:paraId="016E546D" w14:textId="77777777" w:rsidR="00BC3DA7" w:rsidRDefault="00BC3DA7" w:rsidP="00BC3DA7">
      <w:pPr>
        <w:spacing w:after="60"/>
        <w:jc w:val="both"/>
      </w:pPr>
      <w:r w:rsidRPr="007B615E">
        <w:t xml:space="preserve"> </w:t>
      </w:r>
      <w:r w:rsidRPr="007B615E">
        <w:rPr>
          <w:noProof/>
        </w:rPr>
        <w:drawing>
          <wp:inline distT="0" distB="0" distL="0" distR="0" wp14:anchorId="35AF5DC8" wp14:editId="23AD7FEC">
            <wp:extent cx="5760720" cy="1670506"/>
            <wp:effectExtent l="0" t="0" r="0" b="635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70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98450" w14:textId="77777777" w:rsidR="00BC3DA7" w:rsidRDefault="00BC3DA7" w:rsidP="00BC3DA7">
      <w:pPr>
        <w:jc w:val="both"/>
      </w:pPr>
    </w:p>
    <w:p w14:paraId="024592B6" w14:textId="77777777" w:rsidR="00295AAC" w:rsidRPr="00724C05" w:rsidRDefault="00BC3DA7" w:rsidP="00295AAC">
      <w:pPr>
        <w:pStyle w:val="Odsekzoznamu"/>
        <w:numPr>
          <w:ilvl w:val="0"/>
          <w:numId w:val="13"/>
        </w:numPr>
        <w:ind w:left="426" w:right="-142" w:hanging="426"/>
        <w:jc w:val="both"/>
      </w:pPr>
      <w:r>
        <w:t>h</w:t>
      </w:r>
      <w:r w:rsidRPr="00724C05">
        <w:t>odnotenie vplyvu investič</w:t>
      </w:r>
      <w:r>
        <w:t>ného zámeru na verejné financie, pričom h</w:t>
      </w:r>
      <w:r w:rsidRPr="00724C05">
        <w:t xml:space="preserve">odnotiteľ </w:t>
      </w:r>
      <w:r>
        <w:t>porovná pozitívny vplyv investičného zámeru na verejné financie v podobe</w:t>
      </w:r>
      <w:r w:rsidRPr="00724C05">
        <w:t xml:space="preserve"> predpokladan</w:t>
      </w:r>
      <w:r>
        <w:t>ých</w:t>
      </w:r>
      <w:r w:rsidRPr="00724C05">
        <w:t xml:space="preserve"> príjm</w:t>
      </w:r>
      <w:r>
        <w:t>ov</w:t>
      </w:r>
      <w:r w:rsidRPr="00724C05">
        <w:t xml:space="preserve"> </w:t>
      </w:r>
      <w:r>
        <w:t xml:space="preserve">štátneho rozpočtu a </w:t>
      </w:r>
      <w:r w:rsidRPr="00724C05">
        <w:t xml:space="preserve">rozpočtov verejnej správy počas </w:t>
      </w:r>
      <w:r>
        <w:t xml:space="preserve">celej </w:t>
      </w:r>
      <w:r w:rsidRPr="00724C05">
        <w:t>doby udržateľnosti investičného zámeru</w:t>
      </w:r>
      <w:r>
        <w:t>,</w:t>
      </w:r>
      <w:r>
        <w:rPr>
          <w:rStyle w:val="Odkaznapoznmkupodiarou"/>
        </w:rPr>
        <w:footnoteReference w:id="9"/>
      </w:r>
      <w:r>
        <w:t>) a negatívny vplyv investičného zámeru na verejné financie</w:t>
      </w:r>
      <w:r w:rsidRPr="00724C05">
        <w:t>.</w:t>
      </w:r>
    </w:p>
    <w:p w14:paraId="4219FE15" w14:textId="77777777" w:rsidR="00BC3DA7" w:rsidRPr="00724C05" w:rsidRDefault="00BC3DA7" w:rsidP="00BC3DA7">
      <w:pPr>
        <w:spacing w:before="360" w:after="120"/>
        <w:ind w:right="-142"/>
        <w:jc w:val="center"/>
        <w:outlineLvl w:val="0"/>
        <w:rPr>
          <w:b/>
        </w:rPr>
      </w:pPr>
      <w:r>
        <w:rPr>
          <w:b/>
        </w:rPr>
        <w:t>Čl. 9</w:t>
      </w:r>
      <w:r>
        <w:rPr>
          <w:b/>
        </w:rPr>
        <w:br/>
        <w:t>Výrok odborného posudku</w:t>
      </w:r>
    </w:p>
    <w:p w14:paraId="7A355266" w14:textId="77777777" w:rsidR="00BC3DA7" w:rsidRPr="008B67EC" w:rsidRDefault="00BC3DA7" w:rsidP="00BC3DA7">
      <w:pPr>
        <w:numPr>
          <w:ilvl w:val="0"/>
          <w:numId w:val="26"/>
        </w:numPr>
        <w:spacing w:after="60"/>
        <w:ind w:left="425" w:right="-142" w:hanging="425"/>
        <w:jc w:val="both"/>
      </w:pPr>
      <w:r w:rsidRPr="008B67EC">
        <w:t xml:space="preserve">Hodnotiteľ v záverečnom výroku odborného posudku uvedie jednoznačné stanovisko </w:t>
      </w:r>
      <w:r>
        <w:t xml:space="preserve"> k predpokladu prijímateľa splniť podmienky na poskytnutie investičnej pomoci a k </w:t>
      </w:r>
      <w:r w:rsidRPr="00724C05">
        <w:t>predpokladu naplnenia parametrov investičného zám</w:t>
      </w:r>
      <w:r>
        <w:t>eru formou</w:t>
      </w:r>
      <w:r w:rsidRPr="008B67EC">
        <w:t>:</w:t>
      </w:r>
    </w:p>
    <w:p w14:paraId="6AA713EE" w14:textId="77777777" w:rsidR="00BC3DA7" w:rsidRPr="008B67EC" w:rsidRDefault="00BC3DA7" w:rsidP="00BC3DA7">
      <w:pPr>
        <w:spacing w:before="60" w:after="120"/>
        <w:ind w:left="851" w:right="-142" w:hanging="425"/>
        <w:contextualSpacing/>
        <w:jc w:val="both"/>
      </w:pPr>
      <w:r w:rsidRPr="008B67EC">
        <w:t>a)</w:t>
      </w:r>
      <w:r w:rsidRPr="008B67EC">
        <w:tab/>
      </w:r>
      <w:r>
        <w:t xml:space="preserve">kladného výroku, podľa ktorého </w:t>
      </w:r>
      <w:r w:rsidRPr="008B67EC">
        <w:t>prijímateľ má</w:t>
      </w:r>
      <w:r>
        <w:t xml:space="preserve"> predpoklad splniť podmienky na </w:t>
      </w:r>
      <w:r w:rsidRPr="008B67EC">
        <w:t>poskytnutie investičnej pomoci</w:t>
      </w:r>
      <w:r>
        <w:t xml:space="preserve"> a predpoklad naplniť parametre investičného zámeru</w:t>
      </w:r>
      <w:r w:rsidRPr="008B67EC">
        <w:t>,</w:t>
      </w:r>
    </w:p>
    <w:p w14:paraId="26B47B7D" w14:textId="77777777" w:rsidR="00720CEC" w:rsidRDefault="00BC3DA7" w:rsidP="00BC3DA7">
      <w:pPr>
        <w:spacing w:after="200"/>
        <w:ind w:left="850" w:right="-142" w:hanging="425"/>
        <w:jc w:val="both"/>
      </w:pPr>
      <w:r w:rsidRPr="008B67EC">
        <w:t>b)</w:t>
      </w:r>
      <w:r w:rsidRPr="008B67EC">
        <w:tab/>
      </w:r>
      <w:r>
        <w:t xml:space="preserve">záporného výroku, podľa ktorého prijímateľ </w:t>
      </w:r>
      <w:r w:rsidRPr="008B67EC">
        <w:t>nemá predpoklad splniť podmienky na</w:t>
      </w:r>
      <w:r>
        <w:t> </w:t>
      </w:r>
      <w:r w:rsidRPr="008B67EC">
        <w:t>poskytnutie investičnej pomoci</w:t>
      </w:r>
      <w:r>
        <w:t xml:space="preserve"> a predpoklad naplniť parametre investičného zámeru.</w:t>
      </w:r>
    </w:p>
    <w:p w14:paraId="74F21EB5" w14:textId="77777777" w:rsidR="00720CEC" w:rsidRDefault="00720CEC">
      <w:pPr>
        <w:spacing w:after="200" w:line="276" w:lineRule="auto"/>
      </w:pPr>
      <w:r>
        <w:br w:type="page"/>
      </w:r>
    </w:p>
    <w:p w14:paraId="0790FDB8" w14:textId="6DAB3D55" w:rsidR="00BC3DA7" w:rsidRDefault="00BC3DA7" w:rsidP="00BC3DA7">
      <w:pPr>
        <w:numPr>
          <w:ilvl w:val="0"/>
          <w:numId w:val="26"/>
        </w:numPr>
        <w:spacing w:after="60"/>
        <w:ind w:left="425" w:right="-142" w:hanging="425"/>
        <w:jc w:val="both"/>
      </w:pPr>
      <w:r w:rsidRPr="008B67EC">
        <w:lastRenderedPageBreak/>
        <w:t>Hodnotiteľ odporučí</w:t>
      </w:r>
      <w:r w:rsidR="00A1388A">
        <w:t xml:space="preserve"> výšku </w:t>
      </w:r>
      <w:r w:rsidRPr="00724C05">
        <w:t>pomoci, ktorá</w:t>
      </w:r>
      <w:r w:rsidR="00CC1399">
        <w:t xml:space="preserve"> </w:t>
      </w:r>
      <w:r w:rsidR="00CC1399" w:rsidRPr="00724C05">
        <w:t xml:space="preserve">predstavuje </w:t>
      </w:r>
      <w:r w:rsidR="00CC1399">
        <w:t xml:space="preserve">maximálne </w:t>
      </w:r>
      <w:r w:rsidR="00CC1399" w:rsidRPr="00724C05">
        <w:t xml:space="preserve">sumu rovnakú, ako sú predpokladané príjmy štátneho rozpočtu </w:t>
      </w:r>
      <w:r w:rsidR="00CC1399">
        <w:t>odvedené prij</w:t>
      </w:r>
      <w:r w:rsidR="00DB4DFB">
        <w:t>ímateľom v priamej súvislosti s </w:t>
      </w:r>
      <w:r w:rsidR="00CC1399">
        <w:t>investičným zámerom</w:t>
      </w:r>
      <w:r w:rsidR="00CC1399" w:rsidRPr="0055322F">
        <w:t xml:space="preserve"> </w:t>
      </w:r>
      <w:r w:rsidR="00CC1399">
        <w:t>počas doby udržania investície.</w:t>
      </w:r>
    </w:p>
    <w:p w14:paraId="026F8456" w14:textId="4CC5351E" w:rsidR="00BC3DA7" w:rsidRPr="00724C05" w:rsidRDefault="00CC1399" w:rsidP="00280505">
      <w:pPr>
        <w:numPr>
          <w:ilvl w:val="0"/>
          <w:numId w:val="26"/>
        </w:numPr>
        <w:spacing w:after="60"/>
        <w:ind w:left="425" w:right="-142" w:hanging="425"/>
        <w:jc w:val="both"/>
      </w:pPr>
      <w:r>
        <w:t xml:space="preserve">V prípade ak výška investičnej pomoci požadovaná </w:t>
      </w:r>
      <w:r w:rsidR="003011E3">
        <w:t>prijímateľom</w:t>
      </w:r>
      <w:r>
        <w:t xml:space="preserve"> presahuje </w:t>
      </w:r>
      <w:r w:rsidRPr="00CC1399">
        <w:t>predpokladané príjmy štátneho rozpočtu odvedené prij</w:t>
      </w:r>
      <w:r>
        <w:t>ímateľom v priamej súvislosti s </w:t>
      </w:r>
      <w:r w:rsidRPr="00CC1399">
        <w:t>investičným zámerom počas doby udržania investície</w:t>
      </w:r>
      <w:r>
        <w:t xml:space="preserve">, hodnotiteľ odporučí poskytnutie pomoci len do výšky, ktorá je rovnaká, ako sú </w:t>
      </w:r>
      <w:r w:rsidRPr="00CC1399">
        <w:t>predpokladané príjmy štátneho rozpočtu odvedené prijímateľom v priamej súvislosti s investičným zámerom počas doby udržania investície</w:t>
      </w:r>
      <w:r>
        <w:t>.</w:t>
      </w:r>
    </w:p>
    <w:p w14:paraId="0B347C7C" w14:textId="77777777" w:rsidR="00BC3DA7" w:rsidRDefault="00BC3DA7" w:rsidP="00BC3DA7">
      <w:pPr>
        <w:numPr>
          <w:ilvl w:val="0"/>
          <w:numId w:val="26"/>
        </w:numPr>
        <w:spacing w:after="40"/>
        <w:ind w:left="425" w:right="-142" w:hanging="425"/>
        <w:jc w:val="both"/>
      </w:pPr>
      <w:r w:rsidRPr="00724C05">
        <w:t xml:space="preserve">Hodnotiteľ </w:t>
      </w:r>
      <w:r>
        <w:t>zhrnie</w:t>
      </w:r>
      <w:r w:rsidRPr="00724C05">
        <w:t xml:space="preserve"> iné skutočn</w:t>
      </w:r>
      <w:r>
        <w:t xml:space="preserve">osti, </w:t>
      </w:r>
      <w:r w:rsidRPr="005D428F">
        <w:t>ktoré identifikoval pri príprave odborného posudku a ktoré môžu mať vplyv na realizáciu investičného zámeru</w:t>
      </w:r>
      <w:r>
        <w:t xml:space="preserve">, </w:t>
      </w:r>
      <w:r w:rsidRPr="007C05E4">
        <w:t>vrátane identifikácie podstatných rizík, ktoré môžu mať vplyv na realizáciu investičného zámeru.</w:t>
      </w:r>
    </w:p>
    <w:p w14:paraId="77985F16" w14:textId="77777777" w:rsidR="00BC3DA7" w:rsidRPr="005D428F" w:rsidRDefault="00BC3DA7" w:rsidP="00BC3DA7">
      <w:pPr>
        <w:spacing w:before="360" w:after="120"/>
        <w:ind w:right="-142"/>
        <w:jc w:val="center"/>
        <w:outlineLvl w:val="0"/>
        <w:rPr>
          <w:b/>
        </w:rPr>
      </w:pPr>
      <w:r>
        <w:rPr>
          <w:b/>
        </w:rPr>
        <w:t>Čl. 10</w:t>
      </w:r>
      <w:r w:rsidRPr="005D428F">
        <w:rPr>
          <w:b/>
        </w:rPr>
        <w:br/>
        <w:t>Záverečné ustanovenia</w:t>
      </w:r>
    </w:p>
    <w:p w14:paraId="2B84CF1D" w14:textId="77777777" w:rsidR="00BC3DA7" w:rsidRDefault="00BC3DA7" w:rsidP="00BC3DA7">
      <w:pPr>
        <w:pStyle w:val="Odsekzoznamu"/>
        <w:numPr>
          <w:ilvl w:val="0"/>
          <w:numId w:val="41"/>
        </w:numPr>
        <w:ind w:left="426" w:right="-142" w:hanging="426"/>
        <w:contextualSpacing w:val="0"/>
        <w:jc w:val="both"/>
      </w:pPr>
      <w:r w:rsidRPr="00E26636">
        <w:t>Investičné zámery podané na ministerstvo pred 1. aprílom 2018 sa nezávisle odborne posúdia podľa Metodického pokynu č. 6/2016 Ministerstva hospodárstva Slovenskej republiky z 20. decembra 2016 na vypracovanie odborných posudkov investičných zámerov v znení Metodického pokynu č. 6/2017.</w:t>
      </w:r>
    </w:p>
    <w:p w14:paraId="210A471B" w14:textId="77777777" w:rsidR="00BC3DA7" w:rsidRDefault="00BC3DA7" w:rsidP="00BC3DA7">
      <w:pPr>
        <w:pStyle w:val="Odsekzoznamu"/>
        <w:ind w:left="426" w:right="-142"/>
        <w:contextualSpacing w:val="0"/>
        <w:jc w:val="both"/>
      </w:pPr>
    </w:p>
    <w:p w14:paraId="225699CC" w14:textId="77777777" w:rsidR="00977E12" w:rsidRDefault="00977E12" w:rsidP="00BC3DA7">
      <w:pPr>
        <w:pStyle w:val="Odsekzoznamu"/>
        <w:numPr>
          <w:ilvl w:val="0"/>
          <w:numId w:val="41"/>
        </w:numPr>
        <w:ind w:left="425" w:right="-142" w:hanging="425"/>
        <w:contextualSpacing w:val="0"/>
        <w:jc w:val="both"/>
      </w:pPr>
      <w:r>
        <w:t xml:space="preserve">Žiadosti o investičnú pomoc </w:t>
      </w:r>
      <w:r w:rsidRPr="00E26636">
        <w:t>p</w:t>
      </w:r>
      <w:r>
        <w:t xml:space="preserve">odané na ministerstvo do 29. februára 2020 sa nezávisle </w:t>
      </w:r>
      <w:r w:rsidRPr="00E26636">
        <w:t xml:space="preserve">odborne posúdia podľa </w:t>
      </w:r>
      <w:r>
        <w:t>tohto metodického pokynu v znení účinnom do 29. februára 2020.</w:t>
      </w:r>
    </w:p>
    <w:p w14:paraId="6F56E96B" w14:textId="77777777" w:rsidR="00977E12" w:rsidRDefault="00977E12" w:rsidP="00977E12">
      <w:pPr>
        <w:pStyle w:val="Odsekzoznamu"/>
      </w:pPr>
    </w:p>
    <w:p w14:paraId="29E700EE" w14:textId="5E7BFFED" w:rsidR="003011E3" w:rsidRDefault="003011E3" w:rsidP="003011E3">
      <w:pPr>
        <w:pStyle w:val="Odsekzoznamu"/>
        <w:numPr>
          <w:ilvl w:val="0"/>
          <w:numId w:val="41"/>
        </w:numPr>
        <w:ind w:left="426" w:right="-142" w:hanging="426"/>
        <w:contextualSpacing w:val="0"/>
        <w:jc w:val="both"/>
      </w:pPr>
      <w:r w:rsidRPr="003011E3">
        <w:t>Žiadosti o investičnú po</w:t>
      </w:r>
      <w:r w:rsidR="00A1388A">
        <w:t>moc podané na ministerstvo do 14. decembra</w:t>
      </w:r>
      <w:r>
        <w:t xml:space="preserve"> 2024</w:t>
      </w:r>
      <w:r w:rsidRPr="003011E3">
        <w:t xml:space="preserve"> sa nezávisle odborne posúdia podľa tohto metodick</w:t>
      </w:r>
      <w:r w:rsidR="00A1388A">
        <w:t>ého pokynu v znení účinnom do 14. decembra</w:t>
      </w:r>
      <w:r>
        <w:t xml:space="preserve"> 2024.</w:t>
      </w:r>
    </w:p>
    <w:p w14:paraId="4955FAC7" w14:textId="77777777" w:rsidR="003011E3" w:rsidRDefault="003011E3" w:rsidP="00280505">
      <w:pPr>
        <w:pStyle w:val="Odsekzoznamu"/>
      </w:pPr>
    </w:p>
    <w:p w14:paraId="7445A48E" w14:textId="38EE52B0" w:rsidR="00BC3DA7" w:rsidRDefault="00BC3DA7" w:rsidP="00BC3DA7">
      <w:pPr>
        <w:pStyle w:val="Odsekzoznamu"/>
        <w:numPr>
          <w:ilvl w:val="0"/>
          <w:numId w:val="41"/>
        </w:numPr>
        <w:ind w:left="425" w:right="-142" w:hanging="425"/>
        <w:contextualSpacing w:val="0"/>
        <w:jc w:val="both"/>
      </w:pPr>
      <w:r w:rsidRPr="005D428F">
        <w:t>Zruš</w:t>
      </w:r>
      <w:r>
        <w:t xml:space="preserve">uje sa Metodický pokyn č. 6/2016 </w:t>
      </w:r>
      <w:r w:rsidRPr="005D428F">
        <w:t>Ministerstva hospodárstva Slovenskej republiky</w:t>
      </w:r>
      <w:r>
        <w:t xml:space="preserve"> </w:t>
      </w:r>
      <w:r w:rsidR="007F5AF3">
        <w:br/>
      </w:r>
      <w:r>
        <w:t xml:space="preserve">z 20. decembra 2016 na </w:t>
      </w:r>
      <w:r w:rsidRPr="00E26636">
        <w:t>vypracovanie odborných posudkov investičných zámerov v znení Metodického pokynu č. 6/2017.</w:t>
      </w:r>
    </w:p>
    <w:p w14:paraId="2EC6D100" w14:textId="77777777" w:rsidR="00BC3DA7" w:rsidRPr="00E26636" w:rsidRDefault="00BC3DA7" w:rsidP="00BC3DA7">
      <w:pPr>
        <w:pStyle w:val="Odsekzoznamu"/>
        <w:ind w:left="425" w:right="-142"/>
        <w:contextualSpacing w:val="0"/>
        <w:jc w:val="both"/>
      </w:pPr>
    </w:p>
    <w:p w14:paraId="1C4CB8C1" w14:textId="77777777" w:rsidR="00BC3DA7" w:rsidRPr="00E26636" w:rsidRDefault="00BC3DA7" w:rsidP="00BC3DA7">
      <w:pPr>
        <w:pStyle w:val="Odsekzoznamu"/>
        <w:numPr>
          <w:ilvl w:val="0"/>
          <w:numId w:val="41"/>
        </w:numPr>
        <w:ind w:left="425" w:right="-142" w:hanging="425"/>
        <w:contextualSpacing w:val="0"/>
        <w:jc w:val="both"/>
      </w:pPr>
      <w:r w:rsidRPr="00E26636">
        <w:t>Tento me</w:t>
      </w:r>
      <w:r>
        <w:t xml:space="preserve">todický pokyn nadobúda účinnosť </w:t>
      </w:r>
      <w:r w:rsidR="008D4827">
        <w:t>1. júla 2018.</w:t>
      </w:r>
    </w:p>
    <w:p w14:paraId="46589017" w14:textId="77777777" w:rsidR="00BC3DA7" w:rsidRPr="005D428F" w:rsidRDefault="00BC3DA7" w:rsidP="00BC3DA7">
      <w:pPr>
        <w:jc w:val="both"/>
      </w:pPr>
    </w:p>
    <w:p w14:paraId="4E9CA33D" w14:textId="77777777" w:rsidR="00BC3DA7" w:rsidRDefault="00BC3DA7" w:rsidP="00BC3DA7">
      <w:pPr>
        <w:jc w:val="both"/>
      </w:pPr>
    </w:p>
    <w:p w14:paraId="6A2F2FAD" w14:textId="1684660C" w:rsidR="008D4827" w:rsidRDefault="008D4827" w:rsidP="0085140D">
      <w:pPr>
        <w:ind w:firstLine="425"/>
        <w:jc w:val="both"/>
      </w:pPr>
      <w:r>
        <w:t>Dodatok č. 1 k</w:t>
      </w:r>
      <w:r w:rsidR="00295AAC">
        <w:t xml:space="preserve"> tomuto </w:t>
      </w:r>
      <w:r w:rsidR="00EC0AF6">
        <w:t>metodickému pokynu z 20</w:t>
      </w:r>
      <w:r>
        <w:t>. februára 2020 nadobudol účinnosť 1.</w:t>
      </w:r>
      <w:r w:rsidR="00116EA6">
        <w:t> </w:t>
      </w:r>
      <w:r>
        <w:t>marca 20</w:t>
      </w:r>
      <w:r w:rsidR="00365BC7">
        <w:t>20</w:t>
      </w:r>
      <w:r>
        <w:t xml:space="preserve">.  </w:t>
      </w:r>
    </w:p>
    <w:p w14:paraId="704B9B05" w14:textId="1FE75613" w:rsidR="005756A7" w:rsidRDefault="005756A7" w:rsidP="0085140D">
      <w:pPr>
        <w:ind w:firstLine="425"/>
        <w:jc w:val="both"/>
      </w:pPr>
    </w:p>
    <w:p w14:paraId="08DDCB95" w14:textId="03A86C7A" w:rsidR="005756A7" w:rsidRPr="005D428F" w:rsidRDefault="005756A7" w:rsidP="0085140D">
      <w:pPr>
        <w:ind w:firstLine="425"/>
        <w:jc w:val="both"/>
      </w:pPr>
      <w:r>
        <w:t xml:space="preserve">Dodatok č. 2 </w:t>
      </w:r>
      <w:r w:rsidR="00E363D6">
        <w:t>k tomuto metodickému pokynu z 29. novembra</w:t>
      </w:r>
      <w:r>
        <w:t xml:space="preserve"> 202</w:t>
      </w:r>
      <w:r w:rsidR="00E363D6">
        <w:t>4</w:t>
      </w:r>
      <w:r w:rsidR="00FB3E17">
        <w:t xml:space="preserve"> nadobudol účinnosť 1</w:t>
      </w:r>
      <w:r w:rsidR="00A1388A">
        <w:t>5. </w:t>
      </w:r>
      <w:r w:rsidR="00FB3E17">
        <w:t>decembra</w:t>
      </w:r>
      <w:r>
        <w:t xml:space="preserve"> 2024.</w:t>
      </w:r>
    </w:p>
    <w:p w14:paraId="2F44FBDB" w14:textId="77777777" w:rsidR="00BC3DA7" w:rsidRDefault="00BC3DA7" w:rsidP="00BC3DA7">
      <w:pPr>
        <w:spacing w:before="120"/>
        <w:jc w:val="both"/>
      </w:pPr>
    </w:p>
    <w:p w14:paraId="0F570635" w14:textId="62B6C6DA" w:rsidR="0085140D" w:rsidRDefault="0085140D" w:rsidP="00BC3DA7">
      <w:pPr>
        <w:spacing w:before="120"/>
        <w:jc w:val="both"/>
      </w:pPr>
      <w:bookmarkStart w:id="1" w:name="_GoBack"/>
      <w:bookmarkEnd w:id="1"/>
    </w:p>
    <w:sectPr w:rsidR="0085140D" w:rsidSect="00643EEB">
      <w:headerReference w:type="first" r:id="rId9"/>
      <w:pgSz w:w="11906" w:h="16838"/>
      <w:pgMar w:top="1276" w:right="1417" w:bottom="1560" w:left="851" w:header="993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AA9610" w14:textId="77777777" w:rsidR="00C80D60" w:rsidRDefault="00C80D60" w:rsidP="00B16A29">
      <w:r>
        <w:separator/>
      </w:r>
    </w:p>
  </w:endnote>
  <w:endnote w:type="continuationSeparator" w:id="0">
    <w:p w14:paraId="0C872612" w14:textId="77777777" w:rsidR="00C80D60" w:rsidRDefault="00C80D60" w:rsidP="00B16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196424" w14:textId="77777777" w:rsidR="00C80D60" w:rsidRDefault="00C80D60" w:rsidP="00B16A29">
      <w:r>
        <w:separator/>
      </w:r>
    </w:p>
  </w:footnote>
  <w:footnote w:type="continuationSeparator" w:id="0">
    <w:p w14:paraId="40584F1B" w14:textId="77777777" w:rsidR="00C80D60" w:rsidRDefault="00C80D60" w:rsidP="00B16A29">
      <w:r>
        <w:continuationSeparator/>
      </w:r>
    </w:p>
  </w:footnote>
  <w:footnote w:id="1">
    <w:p w14:paraId="125CDFDE" w14:textId="77777777" w:rsidR="00BC3DA7" w:rsidRDefault="00BC3DA7" w:rsidP="00BC3DA7">
      <w:pPr>
        <w:pStyle w:val="Textpoznmkypodiarou"/>
      </w:pPr>
      <w:r>
        <w:rPr>
          <w:rStyle w:val="Odkaznapoznmkupodiarou"/>
        </w:rPr>
        <w:footnoteRef/>
      </w:r>
      <w:r>
        <w:t>) § 4 zákona č. 57/2018 Z. z. o regionálnej investičnej pomoci a o zmene a doplnení niektorých zákonov.</w:t>
      </w:r>
    </w:p>
  </w:footnote>
  <w:footnote w:id="2">
    <w:p w14:paraId="1005137B" w14:textId="77777777" w:rsidR="00BC3DA7" w:rsidRDefault="00BC3DA7" w:rsidP="00BC3DA7">
      <w:pPr>
        <w:pStyle w:val="Textpoznmkypodiarou"/>
      </w:pPr>
      <w:r>
        <w:rPr>
          <w:rStyle w:val="Odkaznapoznmkupodiarou"/>
        </w:rPr>
        <w:footnoteRef/>
      </w:r>
      <w:r>
        <w:t xml:space="preserve">) § 14 a § 29 ods. 2 písm. a) zákona č. 57/2018 Z. z. </w:t>
      </w:r>
    </w:p>
  </w:footnote>
  <w:footnote w:id="3">
    <w:p w14:paraId="2DC90244" w14:textId="77777777" w:rsidR="00BC3DA7" w:rsidRDefault="00BC3DA7" w:rsidP="00BC3DA7">
      <w:pPr>
        <w:pStyle w:val="Textpoznmkypodiarou"/>
        <w:jc w:val="both"/>
      </w:pPr>
      <w:r>
        <w:rPr>
          <w:rStyle w:val="Odkaznapoznmkupodiarou"/>
        </w:rPr>
        <w:footnoteRef/>
      </w:r>
      <w:r>
        <w:t>) Príloha I nariadenia</w:t>
      </w:r>
      <w:r w:rsidRPr="00EA197F">
        <w:t xml:space="preserve"> Komisie (EÚ) č. 651/2014</w:t>
      </w:r>
      <w:r>
        <w:t xml:space="preserve"> zo 17. júna 2014 o vyhlásení určitých kategórií pomoci za zlučiteľné s vnútorným trhom podľa článkov 107 a 108 zmluvy (Ú. v. EÚ L 187, 26. 6. 2014) v platnom znení.</w:t>
      </w:r>
    </w:p>
  </w:footnote>
  <w:footnote w:id="4">
    <w:p w14:paraId="1368C778" w14:textId="77777777" w:rsidR="00BC3DA7" w:rsidRPr="00F94E3E" w:rsidRDefault="00BC3DA7" w:rsidP="00BC3DA7">
      <w:pPr>
        <w:pStyle w:val="Textpoznmkypodiarou"/>
        <w:tabs>
          <w:tab w:val="left" w:pos="284"/>
        </w:tabs>
        <w:ind w:left="284" w:hanging="284"/>
        <w:jc w:val="both"/>
      </w:pPr>
      <w:r w:rsidRPr="00F94E3E">
        <w:rPr>
          <w:rStyle w:val="Odkaznapoznmkupodiarou"/>
        </w:rPr>
        <w:footnoteRef/>
      </w:r>
      <w:r>
        <w:t>)</w:t>
      </w:r>
      <w:r w:rsidRPr="00F94E3E">
        <w:t xml:space="preserve"> </w:t>
      </w:r>
      <w:r w:rsidRPr="0076716D">
        <w:t>Čl. 3 Prílohy I nariadenia Komisie (EÚ) č. 651/2014 v platnom znení.</w:t>
      </w:r>
    </w:p>
  </w:footnote>
  <w:footnote w:id="5">
    <w:p w14:paraId="35B8F520" w14:textId="77777777" w:rsidR="00BC3DA7" w:rsidRDefault="00BC3DA7" w:rsidP="00BC3DA7">
      <w:pPr>
        <w:pStyle w:val="Textpoznmkypodiarou"/>
      </w:pPr>
      <w:r>
        <w:rPr>
          <w:rStyle w:val="Odkaznapoznmkupodiarou"/>
        </w:rPr>
        <w:footnoteRef/>
      </w:r>
      <w:r>
        <w:t>) § 2 ods. 1 a § 5 písm. a) zákona č. 57/2018 Z. z.</w:t>
      </w:r>
    </w:p>
  </w:footnote>
  <w:footnote w:id="6">
    <w:p w14:paraId="13A09EC0" w14:textId="77777777" w:rsidR="00BC3DA7" w:rsidRDefault="00BC3DA7" w:rsidP="00BC3DA7">
      <w:pPr>
        <w:pStyle w:val="Textpoznmkypodiarou"/>
      </w:pPr>
      <w:r>
        <w:rPr>
          <w:rStyle w:val="Odkaznapoznmkupodiarou"/>
        </w:rPr>
        <w:footnoteRef/>
      </w:r>
      <w:r>
        <w:t>) § 6 ods. 1 zákona č. 57/2018 Z. z.</w:t>
      </w:r>
    </w:p>
  </w:footnote>
  <w:footnote w:id="7">
    <w:p w14:paraId="13F6E23A" w14:textId="77777777" w:rsidR="00BC3DA7" w:rsidRDefault="00BC3DA7" w:rsidP="00BC3DA7">
      <w:pPr>
        <w:pStyle w:val="Textpoznmkypodiarou"/>
      </w:pPr>
      <w:r>
        <w:rPr>
          <w:rStyle w:val="Odkaznapoznmkupodiarou"/>
        </w:rPr>
        <w:footnoteRef/>
      </w:r>
      <w:r>
        <w:t>) § 4 ods. 3 písm. a) až i) zákona č. 57/2018 Z. z.</w:t>
      </w:r>
    </w:p>
  </w:footnote>
  <w:footnote w:id="8">
    <w:p w14:paraId="01518093" w14:textId="77777777" w:rsidR="00BC3DA7" w:rsidRDefault="00BC3DA7" w:rsidP="00BC3DA7">
      <w:pPr>
        <w:pStyle w:val="Textpoznmkypodiarou"/>
      </w:pPr>
      <w:r>
        <w:rPr>
          <w:rStyle w:val="Odkaznapoznmkupodiarou"/>
        </w:rPr>
        <w:footnoteRef/>
      </w:r>
      <w:r>
        <w:t>) § 7 až 9 zákona č. 57/2018 Z. z.</w:t>
      </w:r>
    </w:p>
  </w:footnote>
  <w:footnote w:id="9">
    <w:p w14:paraId="2EBE2F0A" w14:textId="77777777" w:rsidR="00BC3DA7" w:rsidRDefault="00BC3DA7" w:rsidP="00BC3DA7">
      <w:pPr>
        <w:pStyle w:val="Textpoznmkypodiarou"/>
        <w:tabs>
          <w:tab w:val="left" w:pos="284"/>
        </w:tabs>
      </w:pPr>
      <w:r>
        <w:rPr>
          <w:rStyle w:val="Odkaznapoznmkupodiarou"/>
        </w:rPr>
        <w:footnoteRef/>
      </w:r>
      <w:r>
        <w:t>)</w:t>
      </w:r>
      <w:r>
        <w:tab/>
        <w:t>§ 22 ods. 6 zákona č. 57/2018 Z. 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92DE0" w14:textId="77777777" w:rsidR="00F4017C" w:rsidRPr="00F4017C" w:rsidRDefault="00F4017C" w:rsidP="00F4017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90D66"/>
    <w:multiLevelType w:val="hybridMultilevel"/>
    <w:tmpl w:val="2A1CB84C"/>
    <w:lvl w:ilvl="0" w:tplc="C1DE11C6">
      <w:start w:val="1"/>
      <w:numFmt w:val="decimal"/>
      <w:lvlText w:val="%1."/>
      <w:lvlJc w:val="left"/>
      <w:pPr>
        <w:ind w:left="646" w:hanging="360"/>
      </w:pPr>
    </w:lvl>
    <w:lvl w:ilvl="1" w:tplc="041B0019">
      <w:start w:val="1"/>
      <w:numFmt w:val="lowerLetter"/>
      <w:lvlText w:val="%2."/>
      <w:lvlJc w:val="left"/>
      <w:pPr>
        <w:ind w:left="1366" w:hanging="360"/>
      </w:pPr>
    </w:lvl>
    <w:lvl w:ilvl="2" w:tplc="041B001B">
      <w:start w:val="1"/>
      <w:numFmt w:val="lowerRoman"/>
      <w:lvlText w:val="%3."/>
      <w:lvlJc w:val="right"/>
      <w:pPr>
        <w:ind w:left="2086" w:hanging="180"/>
      </w:pPr>
    </w:lvl>
    <w:lvl w:ilvl="3" w:tplc="041B000F">
      <w:start w:val="1"/>
      <w:numFmt w:val="decimal"/>
      <w:lvlText w:val="%4."/>
      <w:lvlJc w:val="left"/>
      <w:pPr>
        <w:ind w:left="2806" w:hanging="360"/>
      </w:pPr>
    </w:lvl>
    <w:lvl w:ilvl="4" w:tplc="041B0019">
      <w:start w:val="1"/>
      <w:numFmt w:val="lowerLetter"/>
      <w:lvlText w:val="%5."/>
      <w:lvlJc w:val="left"/>
      <w:pPr>
        <w:ind w:left="3526" w:hanging="360"/>
      </w:pPr>
    </w:lvl>
    <w:lvl w:ilvl="5" w:tplc="041B001B">
      <w:start w:val="1"/>
      <w:numFmt w:val="lowerRoman"/>
      <w:lvlText w:val="%6."/>
      <w:lvlJc w:val="right"/>
      <w:pPr>
        <w:ind w:left="4246" w:hanging="180"/>
      </w:pPr>
    </w:lvl>
    <w:lvl w:ilvl="6" w:tplc="041B000F">
      <w:start w:val="1"/>
      <w:numFmt w:val="decimal"/>
      <w:lvlText w:val="%7."/>
      <w:lvlJc w:val="left"/>
      <w:pPr>
        <w:ind w:left="4966" w:hanging="360"/>
      </w:pPr>
    </w:lvl>
    <w:lvl w:ilvl="7" w:tplc="041B0019">
      <w:start w:val="1"/>
      <w:numFmt w:val="lowerLetter"/>
      <w:lvlText w:val="%8."/>
      <w:lvlJc w:val="left"/>
      <w:pPr>
        <w:ind w:left="5686" w:hanging="360"/>
      </w:pPr>
    </w:lvl>
    <w:lvl w:ilvl="8" w:tplc="041B001B">
      <w:start w:val="1"/>
      <w:numFmt w:val="lowerRoman"/>
      <w:lvlText w:val="%9."/>
      <w:lvlJc w:val="right"/>
      <w:pPr>
        <w:ind w:left="6406" w:hanging="180"/>
      </w:pPr>
    </w:lvl>
  </w:abstractNum>
  <w:abstractNum w:abstractNumId="1" w15:restartNumberingAfterBreak="0">
    <w:nsid w:val="09BF23CD"/>
    <w:multiLevelType w:val="hybridMultilevel"/>
    <w:tmpl w:val="6DA4B0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45428"/>
    <w:multiLevelType w:val="hybridMultilevel"/>
    <w:tmpl w:val="997CA4E6"/>
    <w:lvl w:ilvl="0" w:tplc="041B0017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521B"/>
    <w:multiLevelType w:val="hybridMultilevel"/>
    <w:tmpl w:val="979813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251E4"/>
    <w:multiLevelType w:val="hybridMultilevel"/>
    <w:tmpl w:val="699867CA"/>
    <w:lvl w:ilvl="0" w:tplc="041B000F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55" w:hanging="360"/>
      </w:pPr>
    </w:lvl>
    <w:lvl w:ilvl="2" w:tplc="041B001B" w:tentative="1">
      <w:start w:val="1"/>
      <w:numFmt w:val="lowerRoman"/>
      <w:lvlText w:val="%3."/>
      <w:lvlJc w:val="right"/>
      <w:pPr>
        <w:ind w:left="2175" w:hanging="180"/>
      </w:pPr>
    </w:lvl>
    <w:lvl w:ilvl="3" w:tplc="041B000F" w:tentative="1">
      <w:start w:val="1"/>
      <w:numFmt w:val="decimal"/>
      <w:lvlText w:val="%4."/>
      <w:lvlJc w:val="left"/>
      <w:pPr>
        <w:ind w:left="2895" w:hanging="360"/>
      </w:pPr>
    </w:lvl>
    <w:lvl w:ilvl="4" w:tplc="041B0019" w:tentative="1">
      <w:start w:val="1"/>
      <w:numFmt w:val="lowerLetter"/>
      <w:lvlText w:val="%5."/>
      <w:lvlJc w:val="left"/>
      <w:pPr>
        <w:ind w:left="3615" w:hanging="360"/>
      </w:pPr>
    </w:lvl>
    <w:lvl w:ilvl="5" w:tplc="041B001B" w:tentative="1">
      <w:start w:val="1"/>
      <w:numFmt w:val="lowerRoman"/>
      <w:lvlText w:val="%6."/>
      <w:lvlJc w:val="right"/>
      <w:pPr>
        <w:ind w:left="4335" w:hanging="180"/>
      </w:pPr>
    </w:lvl>
    <w:lvl w:ilvl="6" w:tplc="041B000F" w:tentative="1">
      <w:start w:val="1"/>
      <w:numFmt w:val="decimal"/>
      <w:lvlText w:val="%7."/>
      <w:lvlJc w:val="left"/>
      <w:pPr>
        <w:ind w:left="5055" w:hanging="360"/>
      </w:pPr>
    </w:lvl>
    <w:lvl w:ilvl="7" w:tplc="041B0019" w:tentative="1">
      <w:start w:val="1"/>
      <w:numFmt w:val="lowerLetter"/>
      <w:lvlText w:val="%8."/>
      <w:lvlJc w:val="left"/>
      <w:pPr>
        <w:ind w:left="5775" w:hanging="360"/>
      </w:pPr>
    </w:lvl>
    <w:lvl w:ilvl="8" w:tplc="041B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23162CEB"/>
    <w:multiLevelType w:val="hybridMultilevel"/>
    <w:tmpl w:val="85B25CFC"/>
    <w:lvl w:ilvl="0" w:tplc="F86E27B2">
      <w:start w:val="1"/>
      <w:numFmt w:val="decimal"/>
      <w:lvlText w:val="(%1)"/>
      <w:lvlJc w:val="left"/>
      <w:pPr>
        <w:ind w:left="717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C211E"/>
    <w:multiLevelType w:val="hybridMultilevel"/>
    <w:tmpl w:val="EE0CC106"/>
    <w:lvl w:ilvl="0" w:tplc="041B0017">
      <w:start w:val="1"/>
      <w:numFmt w:val="lowerLetter"/>
      <w:lvlText w:val="%1)"/>
      <w:lvlJc w:val="left"/>
      <w:pPr>
        <w:ind w:left="1288" w:hanging="360"/>
      </w:pPr>
    </w:lvl>
    <w:lvl w:ilvl="1" w:tplc="041B0019" w:tentative="1">
      <w:start w:val="1"/>
      <w:numFmt w:val="lowerLetter"/>
      <w:lvlText w:val="%2."/>
      <w:lvlJc w:val="left"/>
      <w:pPr>
        <w:ind w:left="2008" w:hanging="360"/>
      </w:pPr>
    </w:lvl>
    <w:lvl w:ilvl="2" w:tplc="041B001B" w:tentative="1">
      <w:start w:val="1"/>
      <w:numFmt w:val="lowerRoman"/>
      <w:lvlText w:val="%3."/>
      <w:lvlJc w:val="right"/>
      <w:pPr>
        <w:ind w:left="2728" w:hanging="180"/>
      </w:pPr>
    </w:lvl>
    <w:lvl w:ilvl="3" w:tplc="041B000F" w:tentative="1">
      <w:start w:val="1"/>
      <w:numFmt w:val="decimal"/>
      <w:lvlText w:val="%4."/>
      <w:lvlJc w:val="left"/>
      <w:pPr>
        <w:ind w:left="3448" w:hanging="360"/>
      </w:pPr>
    </w:lvl>
    <w:lvl w:ilvl="4" w:tplc="041B0019" w:tentative="1">
      <w:start w:val="1"/>
      <w:numFmt w:val="lowerLetter"/>
      <w:lvlText w:val="%5."/>
      <w:lvlJc w:val="left"/>
      <w:pPr>
        <w:ind w:left="4168" w:hanging="360"/>
      </w:pPr>
    </w:lvl>
    <w:lvl w:ilvl="5" w:tplc="041B001B" w:tentative="1">
      <w:start w:val="1"/>
      <w:numFmt w:val="lowerRoman"/>
      <w:lvlText w:val="%6."/>
      <w:lvlJc w:val="right"/>
      <w:pPr>
        <w:ind w:left="4888" w:hanging="180"/>
      </w:pPr>
    </w:lvl>
    <w:lvl w:ilvl="6" w:tplc="041B000F" w:tentative="1">
      <w:start w:val="1"/>
      <w:numFmt w:val="decimal"/>
      <w:lvlText w:val="%7."/>
      <w:lvlJc w:val="left"/>
      <w:pPr>
        <w:ind w:left="5608" w:hanging="360"/>
      </w:pPr>
    </w:lvl>
    <w:lvl w:ilvl="7" w:tplc="041B0019" w:tentative="1">
      <w:start w:val="1"/>
      <w:numFmt w:val="lowerLetter"/>
      <w:lvlText w:val="%8."/>
      <w:lvlJc w:val="left"/>
      <w:pPr>
        <w:ind w:left="6328" w:hanging="360"/>
      </w:pPr>
    </w:lvl>
    <w:lvl w:ilvl="8" w:tplc="041B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2718714F"/>
    <w:multiLevelType w:val="hybridMultilevel"/>
    <w:tmpl w:val="4C5499C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A6473"/>
    <w:multiLevelType w:val="hybridMultilevel"/>
    <w:tmpl w:val="AB6CFECE"/>
    <w:lvl w:ilvl="0" w:tplc="041B0017">
      <w:start w:val="1"/>
      <w:numFmt w:val="lowerLetter"/>
      <w:lvlText w:val="%1)"/>
      <w:lvlJc w:val="left"/>
      <w:pPr>
        <w:ind w:left="928" w:hanging="360"/>
      </w:pPr>
    </w:lvl>
    <w:lvl w:ilvl="1" w:tplc="041B0019" w:tentative="1">
      <w:start w:val="1"/>
      <w:numFmt w:val="lowerLetter"/>
      <w:lvlText w:val="%2."/>
      <w:lvlJc w:val="left"/>
      <w:pPr>
        <w:ind w:left="2008" w:hanging="360"/>
      </w:pPr>
    </w:lvl>
    <w:lvl w:ilvl="2" w:tplc="041B001B" w:tentative="1">
      <w:start w:val="1"/>
      <w:numFmt w:val="lowerRoman"/>
      <w:lvlText w:val="%3."/>
      <w:lvlJc w:val="right"/>
      <w:pPr>
        <w:ind w:left="2728" w:hanging="180"/>
      </w:pPr>
    </w:lvl>
    <w:lvl w:ilvl="3" w:tplc="041B000F" w:tentative="1">
      <w:start w:val="1"/>
      <w:numFmt w:val="decimal"/>
      <w:lvlText w:val="%4."/>
      <w:lvlJc w:val="left"/>
      <w:pPr>
        <w:ind w:left="3448" w:hanging="360"/>
      </w:pPr>
    </w:lvl>
    <w:lvl w:ilvl="4" w:tplc="041B0019" w:tentative="1">
      <w:start w:val="1"/>
      <w:numFmt w:val="lowerLetter"/>
      <w:lvlText w:val="%5."/>
      <w:lvlJc w:val="left"/>
      <w:pPr>
        <w:ind w:left="4168" w:hanging="360"/>
      </w:pPr>
    </w:lvl>
    <w:lvl w:ilvl="5" w:tplc="041B001B" w:tentative="1">
      <w:start w:val="1"/>
      <w:numFmt w:val="lowerRoman"/>
      <w:lvlText w:val="%6."/>
      <w:lvlJc w:val="right"/>
      <w:pPr>
        <w:ind w:left="4888" w:hanging="180"/>
      </w:pPr>
    </w:lvl>
    <w:lvl w:ilvl="6" w:tplc="041B000F" w:tentative="1">
      <w:start w:val="1"/>
      <w:numFmt w:val="decimal"/>
      <w:lvlText w:val="%7."/>
      <w:lvlJc w:val="left"/>
      <w:pPr>
        <w:ind w:left="5608" w:hanging="360"/>
      </w:pPr>
    </w:lvl>
    <w:lvl w:ilvl="7" w:tplc="041B0019" w:tentative="1">
      <w:start w:val="1"/>
      <w:numFmt w:val="lowerLetter"/>
      <w:lvlText w:val="%8."/>
      <w:lvlJc w:val="left"/>
      <w:pPr>
        <w:ind w:left="6328" w:hanging="360"/>
      </w:pPr>
    </w:lvl>
    <w:lvl w:ilvl="8" w:tplc="041B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" w15:restartNumberingAfterBreak="0">
    <w:nsid w:val="2C020F95"/>
    <w:multiLevelType w:val="hybridMultilevel"/>
    <w:tmpl w:val="FBC2E548"/>
    <w:lvl w:ilvl="0" w:tplc="041B0017">
      <w:start w:val="1"/>
      <w:numFmt w:val="lowerLetter"/>
      <w:lvlText w:val="%1)"/>
      <w:lvlJc w:val="left"/>
      <w:pPr>
        <w:ind w:left="1145" w:hanging="360"/>
      </w:p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2D2944EF"/>
    <w:multiLevelType w:val="hybridMultilevel"/>
    <w:tmpl w:val="C9928342"/>
    <w:lvl w:ilvl="0" w:tplc="F86E27B2">
      <w:start w:val="1"/>
      <w:numFmt w:val="decimal"/>
      <w:lvlText w:val="(%1)"/>
      <w:lvlJc w:val="left"/>
      <w:pPr>
        <w:ind w:left="1146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D7938E3"/>
    <w:multiLevelType w:val="hybridMultilevel"/>
    <w:tmpl w:val="45207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732BA"/>
    <w:multiLevelType w:val="hybridMultilevel"/>
    <w:tmpl w:val="75BE5B2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531FC"/>
    <w:multiLevelType w:val="hybridMultilevel"/>
    <w:tmpl w:val="46F8177E"/>
    <w:lvl w:ilvl="0" w:tplc="041B000F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83E5F5A"/>
    <w:multiLevelType w:val="hybridMultilevel"/>
    <w:tmpl w:val="806AE3DE"/>
    <w:lvl w:ilvl="0" w:tplc="BBC048F0">
      <w:start w:val="1"/>
      <w:numFmt w:val="decimal"/>
      <w:lvlText w:val="(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5313F"/>
    <w:multiLevelType w:val="hybridMultilevel"/>
    <w:tmpl w:val="ECA636B8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8BC187D"/>
    <w:multiLevelType w:val="hybridMultilevel"/>
    <w:tmpl w:val="FF4EDF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834498"/>
    <w:multiLevelType w:val="hybridMultilevel"/>
    <w:tmpl w:val="F898A884"/>
    <w:lvl w:ilvl="0" w:tplc="041B000F">
      <w:start w:val="1"/>
      <w:numFmt w:val="lowerLetter"/>
      <w:lvlText w:val="%1)"/>
      <w:lvlJc w:val="left"/>
      <w:pPr>
        <w:ind w:left="928" w:hanging="360"/>
      </w:pPr>
    </w:lvl>
    <w:lvl w:ilvl="1" w:tplc="041B0019" w:tentative="1">
      <w:start w:val="1"/>
      <w:numFmt w:val="lowerLetter"/>
      <w:lvlText w:val="%2."/>
      <w:lvlJc w:val="left"/>
      <w:pPr>
        <w:ind w:left="2008" w:hanging="360"/>
      </w:pPr>
    </w:lvl>
    <w:lvl w:ilvl="2" w:tplc="041B001B" w:tentative="1">
      <w:start w:val="1"/>
      <w:numFmt w:val="lowerRoman"/>
      <w:lvlText w:val="%3."/>
      <w:lvlJc w:val="right"/>
      <w:pPr>
        <w:ind w:left="2728" w:hanging="180"/>
      </w:pPr>
    </w:lvl>
    <w:lvl w:ilvl="3" w:tplc="041B000F" w:tentative="1">
      <w:start w:val="1"/>
      <w:numFmt w:val="decimal"/>
      <w:lvlText w:val="%4."/>
      <w:lvlJc w:val="left"/>
      <w:pPr>
        <w:ind w:left="3448" w:hanging="360"/>
      </w:pPr>
    </w:lvl>
    <w:lvl w:ilvl="4" w:tplc="041B0019" w:tentative="1">
      <w:start w:val="1"/>
      <w:numFmt w:val="lowerLetter"/>
      <w:lvlText w:val="%5."/>
      <w:lvlJc w:val="left"/>
      <w:pPr>
        <w:ind w:left="4168" w:hanging="360"/>
      </w:pPr>
    </w:lvl>
    <w:lvl w:ilvl="5" w:tplc="041B001B" w:tentative="1">
      <w:start w:val="1"/>
      <w:numFmt w:val="lowerRoman"/>
      <w:lvlText w:val="%6."/>
      <w:lvlJc w:val="right"/>
      <w:pPr>
        <w:ind w:left="4888" w:hanging="180"/>
      </w:pPr>
    </w:lvl>
    <w:lvl w:ilvl="6" w:tplc="041B000F" w:tentative="1">
      <w:start w:val="1"/>
      <w:numFmt w:val="decimal"/>
      <w:lvlText w:val="%7."/>
      <w:lvlJc w:val="left"/>
      <w:pPr>
        <w:ind w:left="5608" w:hanging="360"/>
      </w:pPr>
    </w:lvl>
    <w:lvl w:ilvl="7" w:tplc="041B0019" w:tentative="1">
      <w:start w:val="1"/>
      <w:numFmt w:val="lowerLetter"/>
      <w:lvlText w:val="%8."/>
      <w:lvlJc w:val="left"/>
      <w:pPr>
        <w:ind w:left="6328" w:hanging="360"/>
      </w:pPr>
    </w:lvl>
    <w:lvl w:ilvl="8" w:tplc="041B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 w15:restartNumberingAfterBreak="0">
    <w:nsid w:val="58353A83"/>
    <w:multiLevelType w:val="hybridMultilevel"/>
    <w:tmpl w:val="701694E6"/>
    <w:lvl w:ilvl="0" w:tplc="041B0017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EA43FE"/>
    <w:multiLevelType w:val="hybridMultilevel"/>
    <w:tmpl w:val="00D8C1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7E4CB8"/>
    <w:multiLevelType w:val="hybridMultilevel"/>
    <w:tmpl w:val="CCC4349C"/>
    <w:lvl w:ilvl="0" w:tplc="041B000F">
      <w:start w:val="1"/>
      <w:numFmt w:val="lowerLetter"/>
      <w:lvlText w:val="%1)"/>
      <w:lvlJc w:val="left"/>
      <w:pPr>
        <w:ind w:left="928" w:hanging="360"/>
      </w:pPr>
    </w:lvl>
    <w:lvl w:ilvl="1" w:tplc="041B0019" w:tentative="1">
      <w:start w:val="1"/>
      <w:numFmt w:val="lowerLetter"/>
      <w:lvlText w:val="%2."/>
      <w:lvlJc w:val="left"/>
      <w:pPr>
        <w:ind w:left="2008" w:hanging="360"/>
      </w:pPr>
    </w:lvl>
    <w:lvl w:ilvl="2" w:tplc="041B001B" w:tentative="1">
      <w:start w:val="1"/>
      <w:numFmt w:val="lowerRoman"/>
      <w:lvlText w:val="%3."/>
      <w:lvlJc w:val="right"/>
      <w:pPr>
        <w:ind w:left="2728" w:hanging="180"/>
      </w:pPr>
    </w:lvl>
    <w:lvl w:ilvl="3" w:tplc="041B000F" w:tentative="1">
      <w:start w:val="1"/>
      <w:numFmt w:val="decimal"/>
      <w:lvlText w:val="%4."/>
      <w:lvlJc w:val="left"/>
      <w:pPr>
        <w:ind w:left="3448" w:hanging="360"/>
      </w:pPr>
    </w:lvl>
    <w:lvl w:ilvl="4" w:tplc="041B0019" w:tentative="1">
      <w:start w:val="1"/>
      <w:numFmt w:val="lowerLetter"/>
      <w:lvlText w:val="%5."/>
      <w:lvlJc w:val="left"/>
      <w:pPr>
        <w:ind w:left="4168" w:hanging="360"/>
      </w:pPr>
    </w:lvl>
    <w:lvl w:ilvl="5" w:tplc="041B001B" w:tentative="1">
      <w:start w:val="1"/>
      <w:numFmt w:val="lowerRoman"/>
      <w:lvlText w:val="%6."/>
      <w:lvlJc w:val="right"/>
      <w:pPr>
        <w:ind w:left="4888" w:hanging="180"/>
      </w:pPr>
    </w:lvl>
    <w:lvl w:ilvl="6" w:tplc="041B000F" w:tentative="1">
      <w:start w:val="1"/>
      <w:numFmt w:val="decimal"/>
      <w:lvlText w:val="%7."/>
      <w:lvlJc w:val="left"/>
      <w:pPr>
        <w:ind w:left="5608" w:hanging="360"/>
      </w:pPr>
    </w:lvl>
    <w:lvl w:ilvl="7" w:tplc="041B0019" w:tentative="1">
      <w:start w:val="1"/>
      <w:numFmt w:val="lowerLetter"/>
      <w:lvlText w:val="%8."/>
      <w:lvlJc w:val="left"/>
      <w:pPr>
        <w:ind w:left="6328" w:hanging="360"/>
      </w:pPr>
    </w:lvl>
    <w:lvl w:ilvl="8" w:tplc="041B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1" w15:restartNumberingAfterBreak="0">
    <w:nsid w:val="5B8E2C9F"/>
    <w:multiLevelType w:val="singleLevel"/>
    <w:tmpl w:val="1C4E2520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1065"/>
      </w:pPr>
    </w:lvl>
  </w:abstractNum>
  <w:abstractNum w:abstractNumId="22" w15:restartNumberingAfterBreak="0">
    <w:nsid w:val="665634E6"/>
    <w:multiLevelType w:val="hybridMultilevel"/>
    <w:tmpl w:val="3F2C0178"/>
    <w:lvl w:ilvl="0" w:tplc="041B0017">
      <w:start w:val="1"/>
      <w:numFmt w:val="lowerLetter"/>
      <w:lvlText w:val="%1)"/>
      <w:lvlJc w:val="left"/>
      <w:pPr>
        <w:ind w:left="1288" w:hanging="360"/>
      </w:pPr>
    </w:lvl>
    <w:lvl w:ilvl="1" w:tplc="041B0019" w:tentative="1">
      <w:start w:val="1"/>
      <w:numFmt w:val="lowerLetter"/>
      <w:lvlText w:val="%2."/>
      <w:lvlJc w:val="left"/>
      <w:pPr>
        <w:ind w:left="2008" w:hanging="360"/>
      </w:pPr>
    </w:lvl>
    <w:lvl w:ilvl="2" w:tplc="041B001B" w:tentative="1">
      <w:start w:val="1"/>
      <w:numFmt w:val="lowerRoman"/>
      <w:lvlText w:val="%3."/>
      <w:lvlJc w:val="right"/>
      <w:pPr>
        <w:ind w:left="2728" w:hanging="180"/>
      </w:pPr>
    </w:lvl>
    <w:lvl w:ilvl="3" w:tplc="041B000F" w:tentative="1">
      <w:start w:val="1"/>
      <w:numFmt w:val="decimal"/>
      <w:lvlText w:val="%4."/>
      <w:lvlJc w:val="left"/>
      <w:pPr>
        <w:ind w:left="3448" w:hanging="360"/>
      </w:pPr>
    </w:lvl>
    <w:lvl w:ilvl="4" w:tplc="041B0019" w:tentative="1">
      <w:start w:val="1"/>
      <w:numFmt w:val="lowerLetter"/>
      <w:lvlText w:val="%5."/>
      <w:lvlJc w:val="left"/>
      <w:pPr>
        <w:ind w:left="4168" w:hanging="360"/>
      </w:pPr>
    </w:lvl>
    <w:lvl w:ilvl="5" w:tplc="041B001B" w:tentative="1">
      <w:start w:val="1"/>
      <w:numFmt w:val="lowerRoman"/>
      <w:lvlText w:val="%6."/>
      <w:lvlJc w:val="right"/>
      <w:pPr>
        <w:ind w:left="4888" w:hanging="180"/>
      </w:pPr>
    </w:lvl>
    <w:lvl w:ilvl="6" w:tplc="041B000F" w:tentative="1">
      <w:start w:val="1"/>
      <w:numFmt w:val="decimal"/>
      <w:lvlText w:val="%7."/>
      <w:lvlJc w:val="left"/>
      <w:pPr>
        <w:ind w:left="5608" w:hanging="360"/>
      </w:pPr>
    </w:lvl>
    <w:lvl w:ilvl="7" w:tplc="041B0019" w:tentative="1">
      <w:start w:val="1"/>
      <w:numFmt w:val="lowerLetter"/>
      <w:lvlText w:val="%8."/>
      <w:lvlJc w:val="left"/>
      <w:pPr>
        <w:ind w:left="6328" w:hanging="360"/>
      </w:pPr>
    </w:lvl>
    <w:lvl w:ilvl="8" w:tplc="041B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3" w15:restartNumberingAfterBreak="0">
    <w:nsid w:val="6A5048C7"/>
    <w:multiLevelType w:val="hybridMultilevel"/>
    <w:tmpl w:val="FAB6BB0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B32B5E"/>
    <w:multiLevelType w:val="hybridMultilevel"/>
    <w:tmpl w:val="4B349D88"/>
    <w:lvl w:ilvl="0" w:tplc="F86E27B2">
      <w:start w:val="1"/>
      <w:numFmt w:val="decimal"/>
      <w:lvlText w:val="(%1)"/>
      <w:lvlJc w:val="left"/>
      <w:pPr>
        <w:ind w:left="717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DB1992"/>
    <w:multiLevelType w:val="hybridMultilevel"/>
    <w:tmpl w:val="5086731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A9707C"/>
    <w:multiLevelType w:val="hybridMultilevel"/>
    <w:tmpl w:val="480A1958"/>
    <w:lvl w:ilvl="0" w:tplc="8A960D22">
      <w:start w:val="1"/>
      <w:numFmt w:val="lowerLetter"/>
      <w:lvlText w:val="%1)"/>
      <w:lvlJc w:val="left"/>
      <w:pPr>
        <w:ind w:left="927" w:hanging="360"/>
      </w:pPr>
      <w:rPr>
        <w:rFonts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BB0695C"/>
    <w:multiLevelType w:val="hybridMultilevel"/>
    <w:tmpl w:val="AB7ADF46"/>
    <w:lvl w:ilvl="0" w:tplc="508EE2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175B7C"/>
    <w:multiLevelType w:val="hybridMultilevel"/>
    <w:tmpl w:val="EE0CC106"/>
    <w:lvl w:ilvl="0" w:tplc="041B0017">
      <w:start w:val="1"/>
      <w:numFmt w:val="lowerLetter"/>
      <w:lvlText w:val="%1)"/>
      <w:lvlJc w:val="left"/>
      <w:pPr>
        <w:ind w:left="1288" w:hanging="360"/>
      </w:pPr>
    </w:lvl>
    <w:lvl w:ilvl="1" w:tplc="041B0019" w:tentative="1">
      <w:start w:val="1"/>
      <w:numFmt w:val="lowerLetter"/>
      <w:lvlText w:val="%2."/>
      <w:lvlJc w:val="left"/>
      <w:pPr>
        <w:ind w:left="2008" w:hanging="360"/>
      </w:pPr>
    </w:lvl>
    <w:lvl w:ilvl="2" w:tplc="041B001B" w:tentative="1">
      <w:start w:val="1"/>
      <w:numFmt w:val="lowerRoman"/>
      <w:lvlText w:val="%3."/>
      <w:lvlJc w:val="right"/>
      <w:pPr>
        <w:ind w:left="2728" w:hanging="180"/>
      </w:pPr>
    </w:lvl>
    <w:lvl w:ilvl="3" w:tplc="041B000F" w:tentative="1">
      <w:start w:val="1"/>
      <w:numFmt w:val="decimal"/>
      <w:lvlText w:val="%4."/>
      <w:lvlJc w:val="left"/>
      <w:pPr>
        <w:ind w:left="3448" w:hanging="360"/>
      </w:pPr>
    </w:lvl>
    <w:lvl w:ilvl="4" w:tplc="041B0019" w:tentative="1">
      <w:start w:val="1"/>
      <w:numFmt w:val="lowerLetter"/>
      <w:lvlText w:val="%5."/>
      <w:lvlJc w:val="left"/>
      <w:pPr>
        <w:ind w:left="4168" w:hanging="360"/>
      </w:pPr>
    </w:lvl>
    <w:lvl w:ilvl="5" w:tplc="041B001B" w:tentative="1">
      <w:start w:val="1"/>
      <w:numFmt w:val="lowerRoman"/>
      <w:lvlText w:val="%6."/>
      <w:lvlJc w:val="right"/>
      <w:pPr>
        <w:ind w:left="4888" w:hanging="180"/>
      </w:pPr>
    </w:lvl>
    <w:lvl w:ilvl="6" w:tplc="041B000F" w:tentative="1">
      <w:start w:val="1"/>
      <w:numFmt w:val="decimal"/>
      <w:lvlText w:val="%7."/>
      <w:lvlJc w:val="left"/>
      <w:pPr>
        <w:ind w:left="5608" w:hanging="360"/>
      </w:pPr>
    </w:lvl>
    <w:lvl w:ilvl="7" w:tplc="041B0019" w:tentative="1">
      <w:start w:val="1"/>
      <w:numFmt w:val="lowerLetter"/>
      <w:lvlText w:val="%8."/>
      <w:lvlJc w:val="left"/>
      <w:pPr>
        <w:ind w:left="6328" w:hanging="360"/>
      </w:pPr>
    </w:lvl>
    <w:lvl w:ilvl="8" w:tplc="041B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1"/>
  </w:num>
  <w:num w:numId="2">
    <w:abstractNumId w:val="4"/>
  </w:num>
  <w:num w:numId="3">
    <w:abstractNumId w:val="16"/>
  </w:num>
  <w:num w:numId="4">
    <w:abstractNumId w:val="13"/>
  </w:num>
  <w:num w:numId="5">
    <w:abstractNumId w:val="21"/>
    <w:lvlOverride w:ilvl="0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9"/>
  </w:num>
  <w:num w:numId="9">
    <w:abstractNumId w:val="26"/>
  </w:num>
  <w:num w:numId="10">
    <w:abstractNumId w:val="20"/>
  </w:num>
  <w:num w:numId="11">
    <w:abstractNumId w:val="20"/>
  </w:num>
  <w:num w:numId="12">
    <w:abstractNumId w:val="20"/>
  </w:num>
  <w:num w:numId="13">
    <w:abstractNumId w:val="20"/>
    <w:lvlOverride w:ilvl="0">
      <w:startOverride w:val="1"/>
    </w:lvlOverride>
  </w:num>
  <w:num w:numId="14">
    <w:abstractNumId w:val="5"/>
  </w:num>
  <w:num w:numId="15">
    <w:abstractNumId w:val="5"/>
    <w:lvlOverride w:ilvl="0">
      <w:startOverride w:val="1"/>
    </w:lvlOverride>
  </w:num>
  <w:num w:numId="16">
    <w:abstractNumId w:val="5"/>
  </w:num>
  <w:num w:numId="17">
    <w:abstractNumId w:val="5"/>
    <w:lvlOverride w:ilvl="0">
      <w:startOverride w:val="1"/>
    </w:lvlOverride>
  </w:num>
  <w:num w:numId="18">
    <w:abstractNumId w:val="5"/>
    <w:lvlOverride w:ilvl="0">
      <w:startOverride w:val="1"/>
    </w:lvlOverride>
  </w:num>
  <w:num w:numId="19">
    <w:abstractNumId w:val="5"/>
    <w:lvlOverride w:ilvl="0">
      <w:startOverride w:val="1"/>
    </w:lvlOverride>
  </w:num>
  <w:num w:numId="20">
    <w:abstractNumId w:val="5"/>
  </w:num>
  <w:num w:numId="21">
    <w:abstractNumId w:val="20"/>
    <w:lvlOverride w:ilvl="0">
      <w:startOverride w:val="1"/>
    </w:lvlOverride>
  </w:num>
  <w:num w:numId="22">
    <w:abstractNumId w:val="20"/>
    <w:lvlOverride w:ilvl="0">
      <w:startOverride w:val="1"/>
    </w:lvlOverride>
  </w:num>
  <w:num w:numId="23">
    <w:abstractNumId w:val="20"/>
    <w:lvlOverride w:ilvl="0">
      <w:startOverride w:val="1"/>
    </w:lvlOverride>
  </w:num>
  <w:num w:numId="24">
    <w:abstractNumId w:val="20"/>
    <w:lvlOverride w:ilvl="0">
      <w:startOverride w:val="1"/>
    </w:lvlOverride>
  </w:num>
  <w:num w:numId="25">
    <w:abstractNumId w:val="20"/>
    <w:lvlOverride w:ilvl="0">
      <w:startOverride w:val="1"/>
    </w:lvlOverride>
  </w:num>
  <w:num w:numId="26">
    <w:abstractNumId w:val="10"/>
  </w:num>
  <w:num w:numId="27">
    <w:abstractNumId w:val="20"/>
    <w:lvlOverride w:ilvl="0">
      <w:startOverride w:val="1"/>
    </w:lvlOverride>
  </w:num>
  <w:num w:numId="28">
    <w:abstractNumId w:val="20"/>
    <w:lvlOverride w:ilvl="0">
      <w:startOverride w:val="1"/>
    </w:lvlOverride>
  </w:num>
  <w:num w:numId="29">
    <w:abstractNumId w:val="22"/>
  </w:num>
  <w:num w:numId="30">
    <w:abstractNumId w:val="28"/>
  </w:num>
  <w:num w:numId="31">
    <w:abstractNumId w:val="25"/>
  </w:num>
  <w:num w:numId="32">
    <w:abstractNumId w:val="2"/>
  </w:num>
  <w:num w:numId="33">
    <w:abstractNumId w:val="23"/>
  </w:num>
  <w:num w:numId="34">
    <w:abstractNumId w:val="11"/>
  </w:num>
  <w:num w:numId="35">
    <w:abstractNumId w:val="18"/>
  </w:num>
  <w:num w:numId="36">
    <w:abstractNumId w:val="12"/>
  </w:num>
  <w:num w:numId="37">
    <w:abstractNumId w:val="24"/>
  </w:num>
  <w:num w:numId="38">
    <w:abstractNumId w:val="7"/>
  </w:num>
  <w:num w:numId="39">
    <w:abstractNumId w:val="17"/>
  </w:num>
  <w:num w:numId="40">
    <w:abstractNumId w:val="9"/>
  </w:num>
  <w:num w:numId="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</w:num>
  <w:num w:numId="43">
    <w:abstractNumId w:val="27"/>
  </w:num>
  <w:num w:numId="44">
    <w:abstractNumId w:val="3"/>
  </w:num>
  <w:num w:numId="45">
    <w:abstractNumId w:val="15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9EC"/>
    <w:rsid w:val="0002320E"/>
    <w:rsid w:val="00023879"/>
    <w:rsid w:val="00044C8F"/>
    <w:rsid w:val="00045832"/>
    <w:rsid w:val="000728AB"/>
    <w:rsid w:val="00076FB3"/>
    <w:rsid w:val="000873A6"/>
    <w:rsid w:val="0009708A"/>
    <w:rsid w:val="000B20E4"/>
    <w:rsid w:val="000B2126"/>
    <w:rsid w:val="000C2818"/>
    <w:rsid w:val="000C7A8A"/>
    <w:rsid w:val="000D6A6A"/>
    <w:rsid w:val="000F1863"/>
    <w:rsid w:val="00116EA6"/>
    <w:rsid w:val="0012605D"/>
    <w:rsid w:val="001338C8"/>
    <w:rsid w:val="00146041"/>
    <w:rsid w:val="00155771"/>
    <w:rsid w:val="001620D1"/>
    <w:rsid w:val="0016529C"/>
    <w:rsid w:val="001656F7"/>
    <w:rsid w:val="0017345A"/>
    <w:rsid w:val="001741E8"/>
    <w:rsid w:val="0018596A"/>
    <w:rsid w:val="001A3C95"/>
    <w:rsid w:val="001A4C82"/>
    <w:rsid w:val="001A7FA4"/>
    <w:rsid w:val="001B0631"/>
    <w:rsid w:val="001B2956"/>
    <w:rsid w:val="001B5BC0"/>
    <w:rsid w:val="001D5F8C"/>
    <w:rsid w:val="001E69C8"/>
    <w:rsid w:val="00204DD0"/>
    <w:rsid w:val="002079EC"/>
    <w:rsid w:val="00212A96"/>
    <w:rsid w:val="002233B3"/>
    <w:rsid w:val="00226AAA"/>
    <w:rsid w:val="00234363"/>
    <w:rsid w:val="002348F7"/>
    <w:rsid w:val="00246D1C"/>
    <w:rsid w:val="002529C0"/>
    <w:rsid w:val="00280505"/>
    <w:rsid w:val="00280A8A"/>
    <w:rsid w:val="00294E4F"/>
    <w:rsid w:val="00295AAC"/>
    <w:rsid w:val="002960D1"/>
    <w:rsid w:val="002A3F85"/>
    <w:rsid w:val="002D01A6"/>
    <w:rsid w:val="002D38C6"/>
    <w:rsid w:val="002E0C86"/>
    <w:rsid w:val="002F20C2"/>
    <w:rsid w:val="003011E3"/>
    <w:rsid w:val="0031339C"/>
    <w:rsid w:val="00314647"/>
    <w:rsid w:val="003234FB"/>
    <w:rsid w:val="00323FD8"/>
    <w:rsid w:val="00333A15"/>
    <w:rsid w:val="00355951"/>
    <w:rsid w:val="00365BC7"/>
    <w:rsid w:val="00380137"/>
    <w:rsid w:val="00393325"/>
    <w:rsid w:val="0039550A"/>
    <w:rsid w:val="003B50D7"/>
    <w:rsid w:val="003C51D4"/>
    <w:rsid w:val="003C6557"/>
    <w:rsid w:val="003D1C59"/>
    <w:rsid w:val="003E724C"/>
    <w:rsid w:val="003F2D26"/>
    <w:rsid w:val="003F48E4"/>
    <w:rsid w:val="00411D27"/>
    <w:rsid w:val="00416C6B"/>
    <w:rsid w:val="004266F6"/>
    <w:rsid w:val="00446020"/>
    <w:rsid w:val="00446188"/>
    <w:rsid w:val="00453A0D"/>
    <w:rsid w:val="00454BE1"/>
    <w:rsid w:val="00465A1B"/>
    <w:rsid w:val="00465A99"/>
    <w:rsid w:val="00481B14"/>
    <w:rsid w:val="00495638"/>
    <w:rsid w:val="004973E7"/>
    <w:rsid w:val="004A336C"/>
    <w:rsid w:val="004C2596"/>
    <w:rsid w:val="004C36A2"/>
    <w:rsid w:val="004D02FD"/>
    <w:rsid w:val="004D10B2"/>
    <w:rsid w:val="004D4127"/>
    <w:rsid w:val="004E20D1"/>
    <w:rsid w:val="004E6526"/>
    <w:rsid w:val="004F1236"/>
    <w:rsid w:val="005216D9"/>
    <w:rsid w:val="00533306"/>
    <w:rsid w:val="00544EFB"/>
    <w:rsid w:val="00552179"/>
    <w:rsid w:val="005555A3"/>
    <w:rsid w:val="005615E5"/>
    <w:rsid w:val="00574955"/>
    <w:rsid w:val="005756A7"/>
    <w:rsid w:val="00581034"/>
    <w:rsid w:val="0058732D"/>
    <w:rsid w:val="00587A39"/>
    <w:rsid w:val="005966D4"/>
    <w:rsid w:val="00597EE8"/>
    <w:rsid w:val="005A5A66"/>
    <w:rsid w:val="005B020E"/>
    <w:rsid w:val="005B6E1C"/>
    <w:rsid w:val="005C26D1"/>
    <w:rsid w:val="005C7860"/>
    <w:rsid w:val="005D1B5F"/>
    <w:rsid w:val="005D5AB8"/>
    <w:rsid w:val="005D7B8B"/>
    <w:rsid w:val="00602F33"/>
    <w:rsid w:val="0060518F"/>
    <w:rsid w:val="00611821"/>
    <w:rsid w:val="00631395"/>
    <w:rsid w:val="00643EEB"/>
    <w:rsid w:val="00645F18"/>
    <w:rsid w:val="0064638C"/>
    <w:rsid w:val="00657687"/>
    <w:rsid w:val="0066130D"/>
    <w:rsid w:val="00665FE3"/>
    <w:rsid w:val="00672922"/>
    <w:rsid w:val="00695C1F"/>
    <w:rsid w:val="00696B9C"/>
    <w:rsid w:val="006A193F"/>
    <w:rsid w:val="006A362E"/>
    <w:rsid w:val="006B6D1A"/>
    <w:rsid w:val="006E6ECC"/>
    <w:rsid w:val="007059E0"/>
    <w:rsid w:val="00713ED8"/>
    <w:rsid w:val="00714B4C"/>
    <w:rsid w:val="00720CEC"/>
    <w:rsid w:val="00724C05"/>
    <w:rsid w:val="00727075"/>
    <w:rsid w:val="00730224"/>
    <w:rsid w:val="0073791D"/>
    <w:rsid w:val="0074126B"/>
    <w:rsid w:val="0074284C"/>
    <w:rsid w:val="00753164"/>
    <w:rsid w:val="00756BF8"/>
    <w:rsid w:val="0076716D"/>
    <w:rsid w:val="007808F3"/>
    <w:rsid w:val="00783396"/>
    <w:rsid w:val="007901F0"/>
    <w:rsid w:val="007A1264"/>
    <w:rsid w:val="007A286B"/>
    <w:rsid w:val="007A2AC8"/>
    <w:rsid w:val="007B24FF"/>
    <w:rsid w:val="007C44EC"/>
    <w:rsid w:val="007C6EED"/>
    <w:rsid w:val="007F5AF3"/>
    <w:rsid w:val="008076DB"/>
    <w:rsid w:val="00821A53"/>
    <w:rsid w:val="00835F39"/>
    <w:rsid w:val="00844064"/>
    <w:rsid w:val="0085006F"/>
    <w:rsid w:val="0085140D"/>
    <w:rsid w:val="008551B7"/>
    <w:rsid w:val="008608F5"/>
    <w:rsid w:val="0086324E"/>
    <w:rsid w:val="00880C65"/>
    <w:rsid w:val="0088224C"/>
    <w:rsid w:val="0088485F"/>
    <w:rsid w:val="00887175"/>
    <w:rsid w:val="00890B1F"/>
    <w:rsid w:val="00891101"/>
    <w:rsid w:val="00897FA9"/>
    <w:rsid w:val="008B4437"/>
    <w:rsid w:val="008B67EC"/>
    <w:rsid w:val="008C1510"/>
    <w:rsid w:val="008D4827"/>
    <w:rsid w:val="008E0283"/>
    <w:rsid w:val="008E5C30"/>
    <w:rsid w:val="0091483A"/>
    <w:rsid w:val="00926B97"/>
    <w:rsid w:val="00931235"/>
    <w:rsid w:val="00951C92"/>
    <w:rsid w:val="009621EB"/>
    <w:rsid w:val="00977E12"/>
    <w:rsid w:val="0098396C"/>
    <w:rsid w:val="00992B87"/>
    <w:rsid w:val="009B3042"/>
    <w:rsid w:val="009C7E58"/>
    <w:rsid w:val="009D2AB6"/>
    <w:rsid w:val="009D6588"/>
    <w:rsid w:val="009E39EA"/>
    <w:rsid w:val="009E50CC"/>
    <w:rsid w:val="00A01DC0"/>
    <w:rsid w:val="00A1388A"/>
    <w:rsid w:val="00A240C5"/>
    <w:rsid w:val="00A3700F"/>
    <w:rsid w:val="00A5306F"/>
    <w:rsid w:val="00A65566"/>
    <w:rsid w:val="00A704C4"/>
    <w:rsid w:val="00A87229"/>
    <w:rsid w:val="00A90917"/>
    <w:rsid w:val="00AA078D"/>
    <w:rsid w:val="00AA1BD6"/>
    <w:rsid w:val="00AB5472"/>
    <w:rsid w:val="00AB6D10"/>
    <w:rsid w:val="00AC2412"/>
    <w:rsid w:val="00B16A29"/>
    <w:rsid w:val="00B35C22"/>
    <w:rsid w:val="00B52460"/>
    <w:rsid w:val="00B90166"/>
    <w:rsid w:val="00B9211C"/>
    <w:rsid w:val="00B92F00"/>
    <w:rsid w:val="00BA489A"/>
    <w:rsid w:val="00BC1B76"/>
    <w:rsid w:val="00BC1FEF"/>
    <w:rsid w:val="00BC3DA7"/>
    <w:rsid w:val="00BD1A2B"/>
    <w:rsid w:val="00BD7570"/>
    <w:rsid w:val="00BD7615"/>
    <w:rsid w:val="00BF7C55"/>
    <w:rsid w:val="00C074E6"/>
    <w:rsid w:val="00C223A6"/>
    <w:rsid w:val="00C30C71"/>
    <w:rsid w:val="00C57C26"/>
    <w:rsid w:val="00C6192D"/>
    <w:rsid w:val="00C80D60"/>
    <w:rsid w:val="00C852E9"/>
    <w:rsid w:val="00CA5DD2"/>
    <w:rsid w:val="00CC0A23"/>
    <w:rsid w:val="00CC0C0C"/>
    <w:rsid w:val="00CC1399"/>
    <w:rsid w:val="00CD056A"/>
    <w:rsid w:val="00D000DB"/>
    <w:rsid w:val="00D059EA"/>
    <w:rsid w:val="00D05F33"/>
    <w:rsid w:val="00D27B17"/>
    <w:rsid w:val="00D33B40"/>
    <w:rsid w:val="00D569BD"/>
    <w:rsid w:val="00D66E4C"/>
    <w:rsid w:val="00D765D8"/>
    <w:rsid w:val="00D83CF1"/>
    <w:rsid w:val="00D928FA"/>
    <w:rsid w:val="00D95B18"/>
    <w:rsid w:val="00D97E9A"/>
    <w:rsid w:val="00DB4DFB"/>
    <w:rsid w:val="00DC510F"/>
    <w:rsid w:val="00DE740C"/>
    <w:rsid w:val="00DF6810"/>
    <w:rsid w:val="00E26AEB"/>
    <w:rsid w:val="00E34288"/>
    <w:rsid w:val="00E363D6"/>
    <w:rsid w:val="00E4016F"/>
    <w:rsid w:val="00E56065"/>
    <w:rsid w:val="00E63DB4"/>
    <w:rsid w:val="00E76142"/>
    <w:rsid w:val="00EB3479"/>
    <w:rsid w:val="00EB5652"/>
    <w:rsid w:val="00EB5F07"/>
    <w:rsid w:val="00EB7C53"/>
    <w:rsid w:val="00EC0AF6"/>
    <w:rsid w:val="00EC13A8"/>
    <w:rsid w:val="00ED6C2E"/>
    <w:rsid w:val="00F0540C"/>
    <w:rsid w:val="00F10D48"/>
    <w:rsid w:val="00F15F17"/>
    <w:rsid w:val="00F20B15"/>
    <w:rsid w:val="00F26169"/>
    <w:rsid w:val="00F35813"/>
    <w:rsid w:val="00F35F2F"/>
    <w:rsid w:val="00F4017C"/>
    <w:rsid w:val="00F44B7B"/>
    <w:rsid w:val="00F51621"/>
    <w:rsid w:val="00F71065"/>
    <w:rsid w:val="00F72716"/>
    <w:rsid w:val="00F91029"/>
    <w:rsid w:val="00F91ED6"/>
    <w:rsid w:val="00FB3661"/>
    <w:rsid w:val="00FB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E7E93E"/>
  <w15:docId w15:val="{970425F3-72D5-428C-9EFB-494DA083B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51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24C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951C92"/>
    <w:pPr>
      <w:keepNext/>
      <w:jc w:val="center"/>
      <w:outlineLvl w:val="1"/>
    </w:pPr>
    <w:rPr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951C92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Nzov">
    <w:name w:val="Title"/>
    <w:basedOn w:val="Normlny"/>
    <w:link w:val="NzovChar"/>
    <w:qFormat/>
    <w:rsid w:val="00951C92"/>
    <w:pPr>
      <w:jc w:val="center"/>
    </w:pPr>
    <w:rPr>
      <w:b/>
      <w:szCs w:val="20"/>
      <w:lang w:val="x-none" w:eastAsia="x-none"/>
    </w:rPr>
  </w:style>
  <w:style w:type="character" w:customStyle="1" w:styleId="NzovChar">
    <w:name w:val="Názov Char"/>
    <w:basedOn w:val="Predvolenpsmoodseku"/>
    <w:link w:val="Nzov"/>
    <w:rsid w:val="00951C92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Zkladntext2">
    <w:name w:val="Body Text 2"/>
    <w:basedOn w:val="Normlny"/>
    <w:link w:val="Zkladntext2Char"/>
    <w:rsid w:val="00951C92"/>
    <w:pPr>
      <w:spacing w:after="120" w:line="480" w:lineRule="auto"/>
      <w:jc w:val="both"/>
    </w:pPr>
    <w:rPr>
      <w:szCs w:val="20"/>
    </w:rPr>
  </w:style>
  <w:style w:type="character" w:customStyle="1" w:styleId="Zkladntext2Char">
    <w:name w:val="Základný text 2 Char"/>
    <w:basedOn w:val="Predvolenpsmoodseku"/>
    <w:link w:val="Zkladntext2"/>
    <w:rsid w:val="00951C92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ra">
    <w:name w:val="ra"/>
    <w:basedOn w:val="Predvolenpsmoodseku"/>
    <w:rsid w:val="00951C92"/>
  </w:style>
  <w:style w:type="character" w:customStyle="1" w:styleId="lib-item">
    <w:name w:val="lib-item"/>
    <w:basedOn w:val="Predvolenpsmoodseku"/>
    <w:rsid w:val="00951C92"/>
  </w:style>
  <w:style w:type="paragraph" w:customStyle="1" w:styleId="Podmienky-M">
    <w:name w:val="Podmienky-M"/>
    <w:basedOn w:val="Normlny"/>
    <w:qFormat/>
    <w:rsid w:val="00951C92"/>
    <w:pPr>
      <w:spacing w:after="120"/>
      <w:ind w:left="567" w:hanging="567"/>
      <w:jc w:val="both"/>
    </w:pPr>
  </w:style>
  <w:style w:type="paragraph" w:styleId="Hlavika">
    <w:name w:val="header"/>
    <w:basedOn w:val="Normlny"/>
    <w:link w:val="HlavikaChar"/>
    <w:rsid w:val="00665FE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lavikaChar">
    <w:name w:val="Hlavička Char"/>
    <w:basedOn w:val="Predvolenpsmoodseku"/>
    <w:link w:val="Hlavika"/>
    <w:rsid w:val="00665FE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16A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16A2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E72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E724C"/>
    <w:rPr>
      <w:rFonts w:ascii="Tahoma" w:eastAsia="Times New Roman" w:hAnsi="Tahoma" w:cs="Tahoma"/>
      <w:sz w:val="16"/>
      <w:szCs w:val="16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60518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60518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ext-M">
    <w:name w:val="Text-M"/>
    <w:basedOn w:val="Normlny"/>
    <w:next w:val="Normlny"/>
    <w:qFormat/>
    <w:rsid w:val="0060518F"/>
    <w:pPr>
      <w:spacing w:before="120" w:after="120"/>
      <w:jc w:val="both"/>
    </w:pPr>
  </w:style>
  <w:style w:type="paragraph" w:styleId="Odsekzoznamu">
    <w:name w:val="List Paragraph"/>
    <w:basedOn w:val="Normlny"/>
    <w:uiPriority w:val="34"/>
    <w:qFormat/>
    <w:rsid w:val="00ED6C2E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1B295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B2956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B295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B295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B2956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724C0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724C0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724C0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nhideWhenUsed/>
    <w:rsid w:val="00724C05"/>
    <w:rPr>
      <w:vertAlign w:val="superscript"/>
    </w:rPr>
  </w:style>
  <w:style w:type="paragraph" w:customStyle="1" w:styleId="PSMENO">
    <w:name w:val="PÍSMENO"/>
    <w:basedOn w:val="Normlny"/>
    <w:qFormat/>
    <w:rsid w:val="00724C05"/>
  </w:style>
  <w:style w:type="paragraph" w:customStyle="1" w:styleId="BOD">
    <w:name w:val="BOD"/>
    <w:basedOn w:val="Normlny"/>
    <w:link w:val="BODChar"/>
    <w:qFormat/>
    <w:rsid w:val="00724C05"/>
  </w:style>
  <w:style w:type="character" w:customStyle="1" w:styleId="BODChar">
    <w:name w:val="BOD Char"/>
    <w:basedOn w:val="Predvolenpsmoodseku"/>
    <w:link w:val="BOD"/>
    <w:rsid w:val="00AB547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E63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8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426D0-E5FD-4F44-986D-9A296DB59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1644</Words>
  <Characters>9374</Characters>
  <Application>Microsoft Office Word</Application>
  <DocSecurity>0</DocSecurity>
  <Lines>78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MHSR</Company>
  <LinksUpToDate>false</LinksUpToDate>
  <CharactersWithSpaces>10997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Dana.Kralikova@mhsr.sk</dc:creator>
  <cp:lastModifiedBy>Voltemarova Lucia</cp:lastModifiedBy>
  <cp:revision>2</cp:revision>
  <cp:lastPrinted>2020-02-26T09:10:00Z</cp:lastPrinted>
  <dcterms:created xsi:type="dcterms:W3CDTF">2025-06-03T11:38:00Z</dcterms:created>
  <dcterms:modified xsi:type="dcterms:W3CDTF">2025-06-03T11:38:00Z</dcterms:modified>
</cp:coreProperties>
</file>