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9A843" w14:textId="77777777" w:rsidR="00586CB3" w:rsidRDefault="00B554AB">
      <w:pPr>
        <w:pStyle w:val="NoteHead"/>
        <w:rPr>
          <w:b w:val="0"/>
          <w:smallCaps w:val="0"/>
        </w:rPr>
      </w:pPr>
      <w:sdt>
        <w:sdtPr>
          <w:alias w:val="Note for - Note for the File"/>
          <w:tag w:val="u7uN5kfMW4zFYuXg0ziI1D-E4pEJMn25qAH87bmWIf9S1"/>
          <w:id w:val="259716745"/>
          <w:dataBinding w:xpath="/Texts/NoteFile" w:storeItemID="{4EF90DE6-88B6-4264-9629-4D8DFDFE87D2}"/>
          <w:text w:multiLine="1"/>
        </w:sdtPr>
        <w:sdtEndPr/>
        <w:sdtContent>
          <w:r w:rsidR="00410C93">
            <w:t>EU pre-assessment fiche for IPCEI candidates</w:t>
          </w:r>
          <w:r w:rsidR="00410C93">
            <w:br/>
          </w:r>
        </w:sdtContent>
      </w:sdt>
      <w:r w:rsidR="00410C93">
        <w:rPr>
          <w:b w:val="0"/>
          <w:smallCaps w:val="0"/>
        </w:rPr>
        <w:t xml:space="preserve"> </w:t>
      </w:r>
    </w:p>
    <w:p w14:paraId="4FF9A844" w14:textId="77777777" w:rsidR="00586CB3" w:rsidRDefault="00410C93">
      <w:pPr>
        <w:pStyle w:val="NoteHead"/>
      </w:pPr>
      <w:r>
        <w:t>IPCEI on Innovative Nuclear Technologies - Nuclear Fusion Energy Technologies</w:t>
      </w:r>
    </w:p>
    <w:p w14:paraId="4FF9A845" w14:textId="77777777" w:rsidR="00586CB3" w:rsidRDefault="00410C93">
      <w:pPr>
        <w:pStyle w:val="Standard"/>
      </w:pPr>
      <w:r>
        <w:rPr>
          <w:i/>
          <w:iCs/>
        </w:rPr>
        <w:t>The objective of this fiche is to provide a preliminary assessment of whether an industrial policy initiative in a given area (be it a specific technology, value chain or sector) would be a suitable candidate for an IPCEI.</w:t>
      </w:r>
    </w:p>
    <w:p w14:paraId="4FF9A846" w14:textId="77777777" w:rsidR="00586CB3" w:rsidRDefault="00410C93">
      <w:pPr>
        <w:pStyle w:val="Standard"/>
      </w:pPr>
      <w:r>
        <w:rPr>
          <w:i/>
          <w:iCs/>
        </w:rPr>
        <w:t xml:space="preserve">The questions aim at ensuring that an industrial strategy initiative by Member States in a given area is warranted, aligns with EU objectives and would meet the eligibility criteria set out in the </w:t>
      </w:r>
      <w:hyperlink r:id="rId14" w:history="1">
        <w:r>
          <w:rPr>
            <w:rStyle w:val="InternetLink"/>
            <w:i/>
            <w:iCs/>
          </w:rPr>
          <w:t>IPCEI Communication</w:t>
        </w:r>
      </w:hyperlink>
      <w:r>
        <w:rPr>
          <w:i/>
          <w:iCs/>
        </w:rPr>
        <w:t>.</w:t>
      </w:r>
    </w:p>
    <w:p w14:paraId="4FF9A847" w14:textId="77777777" w:rsidR="00586CB3" w:rsidRDefault="00410C93">
      <w:pPr>
        <w:pStyle w:val="Standard"/>
      </w:pPr>
      <w:r>
        <w:rPr>
          <w:i/>
          <w:iCs/>
        </w:rPr>
        <w:t xml:space="preserve">The objective of the fiche is not to come up with a final decision as to whether launching an IPCEI in a given area, but to assess if it would be necessary to conduct more analytical work to design a potential IPCEI.    </w:t>
      </w:r>
    </w:p>
    <w:p w14:paraId="4FF9A848" w14:textId="77777777" w:rsidR="00586CB3" w:rsidRDefault="00410C93">
      <w:pPr>
        <w:rPr>
          <w:b/>
          <w:bCs/>
        </w:rPr>
      </w:pPr>
      <w:r>
        <w:rPr>
          <w:b/>
          <w:bCs/>
        </w:rPr>
        <w:t>General scope of the IPCEI on innovative nuclear technologies</w:t>
      </w:r>
    </w:p>
    <w:p w14:paraId="4FF9A849" w14:textId="77777777" w:rsidR="00586CB3" w:rsidRDefault="00410C93">
      <w:pPr>
        <w:pBdr>
          <w:top w:val="single" w:sz="4" w:space="1" w:color="auto"/>
          <w:left w:val="single" w:sz="4" w:space="4" w:color="auto"/>
          <w:bottom w:val="single" w:sz="4" w:space="1" w:color="auto"/>
          <w:right w:val="single" w:sz="4" w:space="4" w:color="auto"/>
        </w:pBdr>
        <w:rPr>
          <w:b/>
          <w:bCs/>
        </w:rPr>
      </w:pPr>
      <w:r>
        <w:rPr>
          <w:b/>
          <w:bCs/>
        </w:rPr>
        <w:t xml:space="preserve">The proposed IPCEI on innovative nuclear technologies would aim at enabling Member States to invest into innovative nuclear technologies, such as SMRs/AMRs, fusion technologies, radioisotopes production, along with their enabling activities. These technologies have the potential to address three key societal challenges, namely (i) climate neutrality, (ii) strategic autonomy and security of supply and (iii) a better health. </w:t>
      </w:r>
    </w:p>
    <w:p w14:paraId="4FF9A84A" w14:textId="08D3D11D" w:rsidR="00586CB3" w:rsidRDefault="00410C93">
      <w:pPr>
        <w:pBdr>
          <w:top w:val="single" w:sz="4" w:space="1" w:color="auto"/>
          <w:left w:val="single" w:sz="4" w:space="4" w:color="auto"/>
          <w:bottom w:val="single" w:sz="4" w:space="1" w:color="auto"/>
          <w:right w:val="single" w:sz="4" w:space="4" w:color="auto"/>
        </w:pBdr>
        <w:rPr>
          <w:b/>
          <w:bCs/>
        </w:rPr>
      </w:pPr>
      <w:r>
        <w:rPr>
          <w:b/>
          <w:bCs/>
        </w:rPr>
        <w:t>For fission technologies, key activities include SMRs/AMRs but also enabling activities such as innovative fuels, uranium processing, waste management and decommissioning, and supply chain development. Regarding nuclear fusion, the focus extends to enabling technologies such as tritium breeding, high-temperature superconductivity, and advancement in both magnetic and alternative concept as inertial fusion reactor technologies. The non-energy applications activities focus on production of medical radioisotopes aiming for sustainable supply chain in Europe.</w:t>
      </w:r>
    </w:p>
    <w:p w14:paraId="4FF9A84B" w14:textId="77777777" w:rsidR="00586CB3" w:rsidRDefault="00410C93">
      <w:pPr>
        <w:pBdr>
          <w:top w:val="single" w:sz="4" w:space="1" w:color="auto"/>
          <w:left w:val="single" w:sz="4" w:space="4" w:color="auto"/>
          <w:bottom w:val="single" w:sz="4" w:space="1" w:color="auto"/>
          <w:right w:val="single" w:sz="4" w:space="4" w:color="auto"/>
        </w:pBdr>
        <w:rPr>
          <w:b/>
          <w:bCs/>
        </w:rPr>
      </w:pPr>
      <w:r>
        <w:rPr>
          <w:b/>
          <w:bCs/>
        </w:rPr>
        <w:t>Based on the feedback received from Member States in the pre-assessment phase, and the definition of the notion of infrastructure shared by DG COMP, the proposed IPCEI on Nuclear technologies would mainly cover R&amp;D&amp;I and FID</w:t>
      </w:r>
      <w:r>
        <w:rPr>
          <w:rStyle w:val="Odkaznapoznmkupodiarou"/>
          <w:b/>
          <w:bCs/>
        </w:rPr>
        <w:footnoteReference w:id="2"/>
      </w:r>
      <w:r>
        <w:rPr>
          <w:b/>
          <w:bCs/>
        </w:rPr>
        <w:t xml:space="preserve"> projects in line with point 22 to 24 of the IPCEI Communication, and </w:t>
      </w:r>
      <w:r>
        <w:rPr>
          <w:b/>
          <w:bCs/>
          <w:lang w:val="en-US"/>
        </w:rPr>
        <w:t>would address these main societal challenges</w:t>
      </w:r>
      <w:r>
        <w:rPr>
          <w:b/>
          <w:bCs/>
        </w:rPr>
        <w:t>.</w:t>
      </w:r>
    </w:p>
    <w:p w14:paraId="4FF9A84C" w14:textId="20324520" w:rsidR="00586CB3" w:rsidRDefault="00410C93">
      <w:pPr>
        <w:pBdr>
          <w:top w:val="single" w:sz="4" w:space="1" w:color="auto"/>
          <w:left w:val="single" w:sz="4" w:space="4" w:color="auto"/>
          <w:bottom w:val="single" w:sz="4" w:space="1" w:color="auto"/>
          <w:right w:val="single" w:sz="4" w:space="4" w:color="auto"/>
        </w:pBdr>
        <w:rPr>
          <w:b/>
          <w:bCs/>
        </w:rPr>
      </w:pPr>
      <w:r>
        <w:rPr>
          <w:b/>
          <w:bCs/>
        </w:rPr>
        <w:t xml:space="preserve">Areas covered by the proposed IPCEI would include SMRs in the short-term, AMRs and nuclear fusion technologies in the medium to long-term. They would also include projects related to the fuel cycle, supply chains, and to the production of radioisotopes for medical purposes as a vital side-benefit of nuclear technologies. </w:t>
      </w:r>
    </w:p>
    <w:p w14:paraId="4FF9A84D" w14:textId="77777777" w:rsidR="00586CB3" w:rsidRDefault="00410C93">
      <w:pPr>
        <w:pBdr>
          <w:top w:val="single" w:sz="4" w:space="1" w:color="auto"/>
          <w:left w:val="single" w:sz="4" w:space="4" w:color="auto"/>
          <w:bottom w:val="single" w:sz="4" w:space="1" w:color="auto"/>
          <w:right w:val="single" w:sz="4" w:space="4" w:color="auto"/>
        </w:pBdr>
        <w:rPr>
          <w:b/>
          <w:bCs/>
        </w:rPr>
      </w:pPr>
      <w:r>
        <w:rPr>
          <w:b/>
          <w:bCs/>
        </w:rPr>
        <w:lastRenderedPageBreak/>
        <w:t xml:space="preserve">The identified work fields include at this stage (i) Innovative nuclear power generation (SMR/AMR) and enabling activities, (ii) Uranium Processing and associated fuel Services, Waste management &amp; Decommissioning, (iii) Supply chain development, transformation and modernisation of industrial sites, (iv) Nuclear Fusion technologies, and (v) Production of radioisotopes for medical applications. Further work in the design phase will be needed to demonstrate the combination of both field-specific issues and possible intertwined technical challenges linked to the use of nuclear technologies. </w:t>
      </w:r>
    </w:p>
    <w:p w14:paraId="4FF9A84E" w14:textId="77777777" w:rsidR="00586CB3" w:rsidRDefault="00410C93">
      <w:pPr>
        <w:pBdr>
          <w:top w:val="single" w:sz="4" w:space="1" w:color="auto"/>
          <w:left w:val="single" w:sz="4" w:space="4" w:color="auto"/>
          <w:bottom w:val="single" w:sz="4" w:space="1" w:color="auto"/>
          <w:right w:val="single" w:sz="4" w:space="4" w:color="auto"/>
        </w:pBdr>
        <w:rPr>
          <w:b/>
          <w:bCs/>
        </w:rPr>
      </w:pPr>
      <w:r>
        <w:rPr>
          <w:b/>
          <w:bCs/>
        </w:rPr>
        <w:t>As such, such an IPCEI would help in catalysing public and private investments into nuclear innovation and in enhancing the EU's nuclear ecosystem integration.</w:t>
      </w:r>
    </w:p>
    <w:tbl>
      <w:tblPr>
        <w:tblStyle w:val="Mriekatabuky"/>
        <w:tblW w:w="0" w:type="auto"/>
        <w:tblLook w:val="04A0" w:firstRow="1" w:lastRow="0" w:firstColumn="1" w:lastColumn="0" w:noHBand="0" w:noVBand="1"/>
      </w:tblPr>
      <w:tblGrid>
        <w:gridCol w:w="8602"/>
      </w:tblGrid>
      <w:tr w:rsidR="00586CB3" w14:paraId="4FF9A850" w14:textId="77777777">
        <w:tc>
          <w:tcPr>
            <w:tcW w:w="8602" w:type="dxa"/>
            <w:tcBorders>
              <w:bottom w:val="single" w:sz="4" w:space="0" w:color="auto"/>
            </w:tcBorders>
            <w:shd w:val="clear" w:color="auto" w:fill="EDEDED" w:themeFill="accent3" w:themeFillTint="33"/>
          </w:tcPr>
          <w:p w14:paraId="4FF9A84F" w14:textId="77777777" w:rsidR="00586CB3" w:rsidRDefault="00410C93">
            <w:pPr>
              <w:pStyle w:val="Nadpis1"/>
              <w:spacing w:afterLines="60" w:after="144"/>
            </w:pPr>
            <w:r>
              <w:t>Overall description of the initiative</w:t>
            </w:r>
          </w:p>
        </w:tc>
      </w:tr>
      <w:tr w:rsidR="00586CB3" w14:paraId="4FF9A85D" w14:textId="77777777">
        <w:tc>
          <w:tcPr>
            <w:tcW w:w="8602" w:type="dxa"/>
            <w:tcBorders>
              <w:top w:val="single" w:sz="4" w:space="0" w:color="auto"/>
              <w:left w:val="single" w:sz="4" w:space="0" w:color="auto"/>
              <w:bottom w:val="single" w:sz="4" w:space="0" w:color="auto"/>
              <w:right w:val="single" w:sz="4" w:space="0" w:color="auto"/>
            </w:tcBorders>
          </w:tcPr>
          <w:p w14:paraId="4FF9A851" w14:textId="77777777" w:rsidR="00586CB3" w:rsidRDefault="00410C93">
            <w:pPr>
              <w:spacing w:after="60"/>
              <w:rPr>
                <w:i/>
                <w:iCs/>
              </w:rPr>
            </w:pPr>
            <w:r>
              <w:rPr>
                <w:i/>
                <w:iCs/>
              </w:rPr>
              <w:t>Please describe the overall planned area of intervention and the intended possible nature of policy intervention/projects. This could be linked either to specific technology, a value chain or a sector / value chain.</w:t>
            </w:r>
          </w:p>
          <w:p w14:paraId="4FF9A852" w14:textId="77777777" w:rsidR="00586CB3" w:rsidRDefault="00410C93">
            <w:pPr>
              <w:spacing w:after="60"/>
              <w:rPr>
                <w:i/>
                <w:iCs/>
              </w:rPr>
            </w:pPr>
            <w:r>
              <w:rPr>
                <w:i/>
                <w:iCs/>
              </w:rPr>
              <w:t xml:space="preserve"> </w:t>
            </w:r>
          </w:p>
          <w:p w14:paraId="4FF9A853" w14:textId="77777777" w:rsidR="00586CB3" w:rsidRDefault="00410C93">
            <w:pPr>
              <w:spacing w:after="60"/>
              <w:rPr>
                <w:i/>
                <w:iCs/>
              </w:rPr>
            </w:pPr>
            <w:r>
              <w:t xml:space="preserve">In the next decades, </w:t>
            </w:r>
            <w:r>
              <w:rPr>
                <w:b/>
                <w:bCs/>
              </w:rPr>
              <w:t>nuclear fusion</w:t>
            </w:r>
            <w:r>
              <w:t xml:space="preserve"> is expected to emerge as a new energy source playing an increasing role in the advancement of decarbonized energy production while combining the objective of energy independence and security. Specifically, the next decade will be crucial to overcoming the major technological challenges that currently hinder the industrial and commercial maturity of fusion power plants (FPPs) and to identify and validate innovative solutions that, by means of a potential IPCEI and related activities, will </w:t>
            </w:r>
            <w:r>
              <w:rPr>
                <w:lang w:val="en-US"/>
              </w:rPr>
              <w:t xml:space="preserve">bring them from lower TRLs (TRL 3-4 for some fusion technologies, higher for others) up to </w:t>
            </w:r>
            <w:r>
              <w:t xml:space="preserve">a TRL maturity level of 8-9 and a </w:t>
            </w:r>
            <w:r>
              <w:rPr>
                <w:lang w:val="en-US"/>
              </w:rPr>
              <w:t>full commercialization</w:t>
            </w:r>
            <w:r>
              <w:t>. Currently, the pace of progress varies across different countries, being more noticeable in China and the US where important fusion programmes are advancing the TRL of key fusion technologies, with associated relevant IP that is protected.</w:t>
            </w:r>
          </w:p>
          <w:p w14:paraId="4FF9A854" w14:textId="77777777" w:rsidR="00586CB3" w:rsidRDefault="00410C93">
            <w:pPr>
              <w:spacing w:after="60"/>
            </w:pPr>
            <w:r>
              <w:t>In 2006 the ITER agreement has been established for the construction of the Tokamak that should demonstrate the scientific and most of the related technologies to bring the expectation on magnetically confined fusion energy production to be considered as reasonably viable in this century. The experience gained by ITER design, construction, and overall operation will be essential towards the development of FPPs.</w:t>
            </w:r>
          </w:p>
          <w:p w14:paraId="4FF9A855" w14:textId="77777777" w:rsidR="00586CB3" w:rsidRDefault="00410C93">
            <w:pPr>
              <w:spacing w:after="60"/>
            </w:pPr>
            <w:r>
              <w:t xml:space="preserve">EU in this enterprise plays the most important role among the seven ITER partners. In 2008 Fusion for Energy European Agency (F4E) and in 2014 the </w:t>
            </w:r>
            <w:proofErr w:type="spellStart"/>
            <w:r>
              <w:t>EUROfusion</w:t>
            </w:r>
            <w:proofErr w:type="spellEnd"/>
            <w:r>
              <w:t xml:space="preserve"> Consortium have been established within the European Union, alongside with Ukraine, the United Kingdom and Switzerland, to foster EU leadership in the development of Fusion Energy. In 2024, in line with G7 statements, the IAEA World Fusion Energy Group was established, whose inaugural meeting was hosted by Italy. These initiatives in the European and global context aim to bring research to an industrial level and accelerate towards the commercialization of FPPs.</w:t>
            </w:r>
          </w:p>
          <w:p w14:paraId="4FF9A856" w14:textId="77777777" w:rsidR="00586CB3" w:rsidRDefault="00410C93">
            <w:pPr>
              <w:spacing w:after="60"/>
            </w:pPr>
            <w:r>
              <w:rPr>
                <w:szCs w:val="24"/>
              </w:rPr>
              <w:t xml:space="preserve">The construction of ITER and of other recent facilities have involved a large number of industries for the procurement of both highly specialized components, systems and services. For the next generation of fusion plants/installations, industry must move from the customer-supplier relationship, </w:t>
            </w:r>
            <w:r>
              <w:rPr>
                <w:szCs w:val="24"/>
                <w:lang w:val="en-US"/>
              </w:rPr>
              <w:t>where customers just respond to the needs of the client, to a co-development,</w:t>
            </w:r>
            <w:r>
              <w:rPr>
                <w:szCs w:val="24"/>
              </w:rPr>
              <w:t xml:space="preserve"> </w:t>
            </w:r>
            <w:r>
              <w:rPr>
                <w:lang w:val="en-IE"/>
              </w:rPr>
              <w:t xml:space="preserve">becoming a key player </w:t>
            </w:r>
            <w:r>
              <w:rPr>
                <w:szCs w:val="24"/>
              </w:rPr>
              <w:t>and increasingly working in synergy with research organizations, actively promoting the successful overcoming of the main challenges through innovation, optimizing and developing technologies related to, among others</w:t>
            </w:r>
            <w:r>
              <w:t>:</w:t>
            </w:r>
          </w:p>
          <w:p w14:paraId="4FF9A857" w14:textId="77777777" w:rsidR="00586CB3" w:rsidRDefault="00410C93">
            <w:pPr>
              <w:pStyle w:val="Odsekzoznamu"/>
              <w:numPr>
                <w:ilvl w:val="0"/>
                <w:numId w:val="26"/>
              </w:numPr>
              <w:spacing w:after="60"/>
              <w:ind w:left="589"/>
            </w:pPr>
            <w:r>
              <w:lastRenderedPageBreak/>
              <w:t xml:space="preserve">Breeding blanket, tritium and fuel cycle. </w:t>
            </w:r>
          </w:p>
          <w:p w14:paraId="4FF9A858" w14:textId="77777777" w:rsidR="00586CB3" w:rsidRDefault="00410C93">
            <w:pPr>
              <w:pStyle w:val="Odsekzoznamu"/>
              <w:numPr>
                <w:ilvl w:val="0"/>
                <w:numId w:val="26"/>
              </w:numPr>
              <w:spacing w:after="60"/>
              <w:ind w:left="589"/>
            </w:pPr>
            <w:r>
              <w:t>Tokamak/stellarator/plasma heating technologies.</w:t>
            </w:r>
          </w:p>
          <w:p w14:paraId="4FF9A859" w14:textId="77777777" w:rsidR="00586CB3" w:rsidRDefault="00410C93">
            <w:pPr>
              <w:pStyle w:val="Odsekzoznamu"/>
              <w:numPr>
                <w:ilvl w:val="0"/>
                <w:numId w:val="26"/>
              </w:numPr>
              <w:spacing w:after="60"/>
              <w:ind w:left="589"/>
            </w:pPr>
            <w:r>
              <w:t>High-Temperature superconductivity and applications.</w:t>
            </w:r>
          </w:p>
          <w:p w14:paraId="4FF9A85A" w14:textId="77777777" w:rsidR="00586CB3" w:rsidRDefault="00410C93">
            <w:pPr>
              <w:pStyle w:val="Odsekzoznamu"/>
              <w:numPr>
                <w:ilvl w:val="0"/>
                <w:numId w:val="26"/>
              </w:numPr>
              <w:spacing w:after="60"/>
              <w:ind w:left="589"/>
            </w:pPr>
            <w:r>
              <w:t>Divertor.</w:t>
            </w:r>
          </w:p>
          <w:p w14:paraId="4FF9A85B" w14:textId="77777777" w:rsidR="00586CB3" w:rsidRDefault="00410C93">
            <w:pPr>
              <w:pStyle w:val="Odsekzoznamu"/>
              <w:numPr>
                <w:ilvl w:val="0"/>
                <w:numId w:val="26"/>
              </w:numPr>
              <w:spacing w:after="60"/>
              <w:ind w:left="589"/>
            </w:pPr>
            <w:r>
              <w:t>Inertial confinement.</w:t>
            </w:r>
          </w:p>
          <w:p w14:paraId="4FF9A85C" w14:textId="516AFFCB" w:rsidR="00586CB3" w:rsidRDefault="00410C93">
            <w:pPr>
              <w:spacing w:after="60"/>
            </w:pPr>
            <w:r>
              <w:rPr>
                <w:b/>
                <w:bCs/>
              </w:rPr>
              <w:t xml:space="preserve">The proposed IPCEI on Nuclear Fusion Energy Technologies (NFET) </w:t>
            </w:r>
            <w:r>
              <w:t xml:space="preserve">aims to support European companies in developing and launching innovative projects for the technologies and critical FPPs components outlined above. This will foster the creation and reinforcement of technological and production capacities within Europe. Due to their high level of innovation needs, fusion energy projects require significant investments in both R&amp;D and first industrial construction and deployments. An </w:t>
            </w:r>
            <w:r>
              <w:rPr>
                <w:b/>
                <w:bCs/>
              </w:rPr>
              <w:t>IPCEI framework</w:t>
            </w:r>
            <w:r>
              <w:t xml:space="preserve"> would be instrumental in bridging the gap between research and industrial realisation for commercial applications, facilitating Europe’s leadership in this strategic energy sector. </w:t>
            </w:r>
          </w:p>
        </w:tc>
      </w:tr>
      <w:tr w:rsidR="00586CB3" w14:paraId="4FF9A85F" w14:textId="77777777">
        <w:tc>
          <w:tcPr>
            <w:tcW w:w="8602" w:type="dxa"/>
            <w:tcBorders>
              <w:top w:val="single" w:sz="4" w:space="0" w:color="auto"/>
              <w:left w:val="nil"/>
              <w:bottom w:val="single" w:sz="4" w:space="0" w:color="auto"/>
              <w:right w:val="nil"/>
            </w:tcBorders>
          </w:tcPr>
          <w:p w14:paraId="4FF9A85E" w14:textId="77777777" w:rsidR="00586CB3" w:rsidRDefault="00586CB3">
            <w:pPr>
              <w:spacing w:afterLines="60" w:after="144"/>
              <w:rPr>
                <w:i/>
                <w:iCs/>
              </w:rPr>
            </w:pPr>
          </w:p>
        </w:tc>
      </w:tr>
      <w:tr w:rsidR="00586CB3" w14:paraId="4FF9A861" w14:textId="77777777">
        <w:tc>
          <w:tcPr>
            <w:tcW w:w="8602"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4FF9A860" w14:textId="77777777" w:rsidR="00586CB3" w:rsidRDefault="00410C93">
            <w:pPr>
              <w:pStyle w:val="Nadpis1"/>
              <w:spacing w:afterLines="60" w:after="144"/>
            </w:pPr>
            <w:r>
              <w:t xml:space="preserve">Political and industrial policy objectives </w:t>
            </w:r>
          </w:p>
        </w:tc>
      </w:tr>
      <w:tr w:rsidR="00586CB3" w14:paraId="4FF9A87B" w14:textId="77777777">
        <w:tc>
          <w:tcPr>
            <w:tcW w:w="8602" w:type="dxa"/>
            <w:tcBorders>
              <w:top w:val="single" w:sz="4" w:space="0" w:color="auto"/>
              <w:left w:val="single" w:sz="4" w:space="0" w:color="auto"/>
              <w:bottom w:val="single" w:sz="4" w:space="0" w:color="auto"/>
              <w:right w:val="single" w:sz="4" w:space="0" w:color="auto"/>
            </w:tcBorders>
          </w:tcPr>
          <w:p w14:paraId="4FF9A862" w14:textId="77777777" w:rsidR="00586CB3" w:rsidRDefault="00410C93">
            <w:pPr>
              <w:spacing w:after="60"/>
              <w:rPr>
                <w:i/>
                <w:iCs/>
              </w:rPr>
            </w:pPr>
            <w:r>
              <w:rPr>
                <w:i/>
                <w:iCs/>
              </w:rPr>
              <w:t>This section aims at assessing the key policy objectives of the initiative from an economic, industrial and research objectives.</w:t>
            </w:r>
          </w:p>
          <w:p w14:paraId="4FF9A863" w14:textId="77777777" w:rsidR="00586CB3" w:rsidRDefault="00586CB3">
            <w:pPr>
              <w:spacing w:after="60"/>
              <w:rPr>
                <w:i/>
                <w:iCs/>
              </w:rPr>
            </w:pPr>
          </w:p>
          <w:p w14:paraId="4FF9A864" w14:textId="77777777" w:rsidR="00586CB3" w:rsidRDefault="00410C93">
            <w:pPr>
              <w:pStyle w:val="Nadpis2"/>
              <w:tabs>
                <w:tab w:val="clear" w:pos="1077"/>
              </w:tabs>
              <w:spacing w:after="60"/>
              <w:ind w:left="306" w:hanging="204"/>
            </w:pPr>
            <w:r>
              <w:t xml:space="preserve">What is the problem that the initiative aims at solving? What is the “cause” of the intervention and why is it important? </w:t>
            </w:r>
          </w:p>
          <w:p w14:paraId="4FF9A865" w14:textId="77777777" w:rsidR="00586CB3" w:rsidRDefault="00410C93">
            <w:pPr>
              <w:pStyle w:val="Text2"/>
              <w:spacing w:after="60"/>
              <w:ind w:left="0"/>
            </w:pPr>
            <w:r>
              <w:t>The EU's decarbonisation policy aims to achieve net zero emissions by 2050. All technologies currently available and those that will gradually become available between now and 2050 will have to contribute to achieving this objective.</w:t>
            </w:r>
          </w:p>
          <w:p w14:paraId="4FF9A866" w14:textId="77CAC7B5" w:rsidR="00586CB3" w:rsidRDefault="00410C93">
            <w:pPr>
              <w:pStyle w:val="Text2"/>
              <w:spacing w:after="60"/>
              <w:ind w:left="0"/>
            </w:pPr>
            <w:r>
              <w:t>In general, countries that are investing in developing fusion energy research programs, both worldwide and in the EU are fully aware of its potential advantages. Fusion energy will produce large amounts of energy from small quantities of fuel; it does not emit CO</w:t>
            </w:r>
            <w:r>
              <w:rPr>
                <w:vertAlign w:val="subscript"/>
              </w:rPr>
              <w:t xml:space="preserve">2 </w:t>
            </w:r>
            <w:r>
              <w:t>and greenhouse gases; it is inherently safe as it does not rely on a reaction chain, and the reactor automatically shuts down in presence of malfunctions; it has a low environmental impact and does not produce long-lived radioactive waste; it can produce dispatchable energy, being therefore suitable for meeting baseload electricity.</w:t>
            </w:r>
          </w:p>
          <w:p w14:paraId="4FF9A867" w14:textId="1B378CDF" w:rsidR="00586CB3" w:rsidRDefault="00410C93">
            <w:pPr>
              <w:pStyle w:val="Text2"/>
              <w:spacing w:after="60"/>
              <w:ind w:left="0"/>
            </w:pPr>
            <w:r>
              <w:t>Two main confinement concepts are currently studied for fusion reactors: magnetic and inertial.</w:t>
            </w:r>
          </w:p>
          <w:p w14:paraId="4FF9A868" w14:textId="77777777" w:rsidR="00586CB3" w:rsidRDefault="00410C93">
            <w:pPr>
              <w:pStyle w:val="Text2"/>
              <w:spacing w:after="60"/>
              <w:ind w:left="0"/>
            </w:pPr>
            <w:r>
              <w:t>Outside of the EU, the world’s leading countries that are actively investing to accelerate the development of fusion energy technologies are China, Japan, the Republic of Korea (hereinafter South Korea), the Russian Federation, the United States and the United Kingdom (UK).</w:t>
            </w:r>
          </w:p>
          <w:p w14:paraId="4FF9A869" w14:textId="77777777" w:rsidR="00586CB3" w:rsidRDefault="00410C93">
            <w:pPr>
              <w:pStyle w:val="Text2"/>
              <w:spacing w:after="60"/>
              <w:ind w:left="0"/>
            </w:pPr>
            <w:r>
              <w:t xml:space="preserve">The </w:t>
            </w:r>
            <w:r>
              <w:rPr>
                <w:b/>
                <w:bCs/>
              </w:rPr>
              <w:t>United Kingdom</w:t>
            </w:r>
            <w:r>
              <w:t xml:space="preserve"> published, in October 2021, a national fusion energy strategy with the goals of demonstrating the industrial feasibility of fusion by building a prototype of FPPs with an investment of up to £650 million by 2027 into </w:t>
            </w:r>
            <w:r>
              <w:rPr>
                <w:i/>
                <w:iCs/>
              </w:rPr>
              <w:t>Fusion Futures</w:t>
            </w:r>
            <w:r>
              <w:t xml:space="preserve"> program, in addition to the £700 million already allocated for the 2022-2025 period.</w:t>
            </w:r>
          </w:p>
          <w:p w14:paraId="4FF9A86A" w14:textId="77777777" w:rsidR="00586CB3" w:rsidRDefault="00410C93">
            <w:pPr>
              <w:pStyle w:val="Text2"/>
              <w:spacing w:after="60"/>
              <w:ind w:left="0"/>
              <w:rPr>
                <w:rFonts w:eastAsiaTheme="minorEastAsia"/>
                <w:color w:val="000000" w:themeColor="text1"/>
                <w:lang w:val="en-US"/>
              </w:rPr>
            </w:pPr>
            <w:r>
              <w:rPr>
                <w:rFonts w:eastAsiaTheme="minorEastAsia"/>
                <w:color w:val="000000" w:themeColor="text1"/>
                <w:lang w:val="en-US"/>
              </w:rPr>
              <w:t xml:space="preserve">The </w:t>
            </w:r>
            <w:r>
              <w:rPr>
                <w:rFonts w:eastAsiaTheme="minorEastAsia"/>
                <w:b/>
                <w:bCs/>
                <w:color w:val="000000" w:themeColor="text1"/>
                <w:lang w:val="en-US"/>
              </w:rPr>
              <w:t>United States</w:t>
            </w:r>
            <w:r>
              <w:rPr>
                <w:rFonts w:eastAsiaTheme="minorEastAsia"/>
                <w:color w:val="000000" w:themeColor="text1"/>
                <w:lang w:val="en-US"/>
              </w:rPr>
              <w:t xml:space="preserve">, during March 2022 White House Fusion Summit, announced </w:t>
            </w:r>
            <w:r>
              <w:rPr>
                <w:rFonts w:eastAsiaTheme="minorEastAsia"/>
                <w:color w:val="000000" w:themeColor="text1"/>
              </w:rPr>
              <w:t>through the Department of Energy (DoE)</w:t>
            </w:r>
            <w:r>
              <w:rPr>
                <w:rFonts w:eastAsiaTheme="minorEastAsia"/>
                <w:color w:val="000000" w:themeColor="text1"/>
                <w:lang w:val="en-US"/>
              </w:rPr>
              <w:t xml:space="preserve"> the launch a department-wide initiative to support the “Bold Decadal Vision for Commercial Fusion Energy” (BDV) and develop a decadal strategy for accelerating the viability of commercial fusion energy in partnership with the private sector. In June 2024 DoE unveiled the “Fusion Energy Strategy 2024”, organized around three main pillars: i) close technological gaps, ii) prepare path to commercial deployment, iii) build and leverage external partnerships. </w:t>
            </w:r>
            <w:r>
              <w:rPr>
                <w:rFonts w:eastAsiaTheme="minorEastAsia"/>
                <w:color w:val="000000" w:themeColor="text1"/>
                <w:lang w:val="en-US"/>
              </w:rPr>
              <w:lastRenderedPageBreak/>
              <w:t xml:space="preserve">DoE also announced a 180 M$ funding initiative for Fusion Innovation Research Engine (FIRE) Collaboratives, with the goal of strengthening the fusion innovation ecosystem by forming teams aimed at bridging the Department’s Fusion Energy Sciences (FES) </w:t>
            </w:r>
            <w:proofErr w:type="spellStart"/>
            <w:r>
              <w:rPr>
                <w:rFonts w:eastAsiaTheme="minorEastAsia"/>
                <w:color w:val="000000" w:themeColor="text1"/>
                <w:lang w:val="en-US"/>
              </w:rPr>
              <w:t>programme</w:t>
            </w:r>
            <w:proofErr w:type="spellEnd"/>
            <w:r>
              <w:rPr>
                <w:rFonts w:eastAsiaTheme="minorEastAsia"/>
                <w:color w:val="000000" w:themeColor="text1"/>
                <w:lang w:val="en-US"/>
              </w:rPr>
              <w:t>, targeting foundational and enabling science research and aligning with the needs of the growing fusion industry. Furthermore, the DoE Fusion Energy Strategy 2024 was complemented by the FES Building Bridges vision, a document which aims at guiding future DoE investments in fusion energy, research and development and demonstration.</w:t>
            </w:r>
          </w:p>
          <w:p w14:paraId="4FF9A86B" w14:textId="77777777" w:rsidR="00586CB3" w:rsidRDefault="00410C93">
            <w:pPr>
              <w:pStyle w:val="Text2"/>
              <w:spacing w:after="60"/>
              <w:ind w:left="0"/>
              <w:rPr>
                <w:rFonts w:eastAsiaTheme="minorEastAsia"/>
                <w:color w:val="000000" w:themeColor="text1"/>
                <w:szCs w:val="24"/>
                <w:lang w:val="en-US"/>
              </w:rPr>
            </w:pPr>
            <w:r>
              <w:rPr>
                <w:rFonts w:eastAsiaTheme="minorEastAsia"/>
                <w:color w:val="000000" w:themeColor="text1"/>
                <w:lang w:val="en-US"/>
              </w:rPr>
              <w:t xml:space="preserve">In April 2023, </w:t>
            </w:r>
            <w:r>
              <w:rPr>
                <w:rFonts w:eastAsiaTheme="minorEastAsia"/>
                <w:b/>
                <w:bCs/>
                <w:color w:val="000000" w:themeColor="text1"/>
                <w:lang w:val="en-US"/>
              </w:rPr>
              <w:t>Japan</w:t>
            </w:r>
            <w:r>
              <w:rPr>
                <w:rFonts w:eastAsiaTheme="minorEastAsia"/>
                <w:color w:val="000000" w:themeColor="text1"/>
                <w:lang w:val="en-US"/>
              </w:rPr>
              <w:t xml:space="preserve"> unveiled its </w:t>
            </w:r>
            <w:r>
              <w:rPr>
                <w:rFonts w:eastAsiaTheme="minorEastAsia"/>
                <w:i/>
                <w:color w:val="000000" w:themeColor="text1"/>
                <w:lang w:val="en-US"/>
              </w:rPr>
              <w:t>Fusion Energy Innovation Strategy</w:t>
            </w:r>
            <w:r>
              <w:rPr>
                <w:rFonts w:eastAsiaTheme="minorEastAsia"/>
                <w:color w:val="000000" w:themeColor="text1"/>
                <w:lang w:val="en-US"/>
              </w:rPr>
              <w:t>. Considering fusion energy as a new industry, Japan’s aim is to fully enter the burgeoning global fusion supply chain competition, accelerating the realization of fusion energy through a multifaceted approach including commercialization, in addition to the ITER Project and Broader Approach Agreement and DEMO development.</w:t>
            </w:r>
          </w:p>
          <w:p w14:paraId="4FF9A86C" w14:textId="77777777" w:rsidR="00586CB3" w:rsidRDefault="00410C93">
            <w:pPr>
              <w:pStyle w:val="Text2"/>
              <w:spacing w:after="60"/>
              <w:ind w:left="0"/>
              <w:rPr>
                <w:rFonts w:eastAsiaTheme="minorEastAsia"/>
                <w:color w:val="000000" w:themeColor="text1"/>
                <w:lang w:val="en-US"/>
              </w:rPr>
            </w:pPr>
            <w:r>
              <w:rPr>
                <w:rFonts w:eastAsiaTheme="minorEastAsia"/>
                <w:color w:val="000000" w:themeColor="text1"/>
                <w:lang w:val="en-US"/>
              </w:rPr>
              <w:t xml:space="preserve">In July 2024, the </w:t>
            </w:r>
            <w:r>
              <w:rPr>
                <w:rFonts w:eastAsiaTheme="minorEastAsia"/>
                <w:b/>
                <w:bCs/>
                <w:color w:val="000000" w:themeColor="text1"/>
                <w:lang w:val="en-US"/>
              </w:rPr>
              <w:t>South Korean</w:t>
            </w:r>
            <w:r>
              <w:rPr>
                <w:rFonts w:eastAsiaTheme="minorEastAsia"/>
                <w:color w:val="000000" w:themeColor="text1"/>
                <w:lang w:val="en-US"/>
              </w:rPr>
              <w:t xml:space="preserve"> government announced an investment initiative targeting the development of fusion reactor components and related infrastructure with a focus on </w:t>
            </w:r>
            <w:r>
              <w:rPr>
                <w:rFonts w:eastAsiaTheme="minorEastAsia"/>
                <w:b/>
                <w:bCs/>
                <w:color w:val="000000" w:themeColor="text1"/>
                <w:lang w:val="en-US"/>
              </w:rPr>
              <w:t>public-private partnerships</w:t>
            </w:r>
            <w:r>
              <w:rPr>
                <w:rFonts w:eastAsiaTheme="minorEastAsia"/>
                <w:color w:val="000000" w:themeColor="text1"/>
                <w:lang w:val="en-US"/>
              </w:rPr>
              <w:t xml:space="preserve"> (PPPs). The initiative, which will mobilize about 800 M$ in new investments between 2026 and 2035, is aimed at securing a leading role for South Korean companies in the commercialization of fusion reactors.  </w:t>
            </w:r>
          </w:p>
          <w:p w14:paraId="4FF9A86D" w14:textId="77777777" w:rsidR="00586CB3" w:rsidRDefault="00410C93">
            <w:pPr>
              <w:pStyle w:val="Text2"/>
              <w:spacing w:after="60"/>
              <w:ind w:left="0"/>
              <w:rPr>
                <w:rFonts w:eastAsiaTheme="minorEastAsia"/>
                <w:color w:val="000000" w:themeColor="text1"/>
                <w:szCs w:val="24"/>
                <w:lang w:val="en-US"/>
              </w:rPr>
            </w:pPr>
            <w:r>
              <w:rPr>
                <w:rFonts w:eastAsiaTheme="minorEastAsia"/>
                <w:b/>
                <w:bCs/>
                <w:color w:val="000000" w:themeColor="text1"/>
                <w:szCs w:val="24"/>
                <w:lang w:val="en-US"/>
              </w:rPr>
              <w:t>China</w:t>
            </w:r>
            <w:r>
              <w:rPr>
                <w:rFonts w:eastAsiaTheme="minorEastAsia"/>
                <w:color w:val="000000" w:themeColor="text1"/>
                <w:szCs w:val="24"/>
                <w:lang w:val="en-US"/>
              </w:rPr>
              <w:t xml:space="preserve"> began fusion research later than other countries but has then progressed rapidly thanks to it joining the ITER project. China's roadmap for magnetic fusion has the following short-term goals: 1) establish advanced platforms for high-performance and high-powered plasma physics research; 2) develop key technologies for the design of the </w:t>
            </w:r>
            <w:r>
              <w:rPr>
                <w:rFonts w:eastAsiaTheme="minorEastAsia"/>
                <w:i/>
                <w:iCs/>
                <w:color w:val="000000" w:themeColor="text1"/>
                <w:szCs w:val="24"/>
                <w:lang w:val="en-US"/>
              </w:rPr>
              <w:t>China Fusion Engineering Testing Reactor</w:t>
            </w:r>
            <w:r>
              <w:rPr>
                <w:rFonts w:eastAsiaTheme="minorEastAsia"/>
                <w:color w:val="000000" w:themeColor="text1"/>
                <w:szCs w:val="24"/>
                <w:lang w:val="en-US"/>
              </w:rPr>
              <w:t xml:space="preserve"> (CFETR), a facility capable of generating electricity by self-producing the necessary tritium; and 3) design CFETR and complete its construction. Recently, </w:t>
            </w:r>
            <w:r>
              <w:rPr>
                <w:rFonts w:eastAsiaTheme="minorEastAsia"/>
                <w:szCs w:val="24"/>
                <w:lang w:val="en-US"/>
              </w:rPr>
              <w:t>t</w:t>
            </w:r>
            <w:r>
              <w:rPr>
                <w:lang w:val="en-US"/>
              </w:rPr>
              <w:t xml:space="preserve">he Experimental Advanced Superconducting Tokamak (EAST) has set a new record in terms of plasma stability. Furthermore, </w:t>
            </w:r>
            <w:r>
              <w:rPr>
                <w:rFonts w:eastAsiaTheme="minorEastAsia"/>
                <w:color w:val="000000" w:themeColor="text1"/>
                <w:szCs w:val="24"/>
                <w:lang w:val="en-US"/>
              </w:rPr>
              <w:t xml:space="preserve">in preparation for CFETR, China is constructing an intermediate experiment called BEST (Burning-plasma Experimental Superconducting Tokamak), which is expected to be completed by 2030. </w:t>
            </w:r>
          </w:p>
          <w:p w14:paraId="4FF9A86E" w14:textId="112D31E1" w:rsidR="00586CB3" w:rsidRDefault="00410C93">
            <w:pPr>
              <w:pStyle w:val="Text2"/>
              <w:spacing w:after="60"/>
              <w:ind w:left="0"/>
              <w:rPr>
                <w:color w:val="000000" w:themeColor="text1"/>
                <w:lang w:val="en-US"/>
              </w:rPr>
            </w:pPr>
            <w:r>
              <w:rPr>
                <w:rFonts w:eastAsiaTheme="minorEastAsia"/>
                <w:color w:val="000000" w:themeColor="text1"/>
                <w:lang w:val="en-US"/>
              </w:rPr>
              <w:t xml:space="preserve">Moreover, </w:t>
            </w:r>
            <w:r>
              <w:rPr>
                <w:color w:val="000000" w:themeColor="text1"/>
              </w:rPr>
              <w:t xml:space="preserve">there is a global surge of companies and start-ups that are attracting interest in accelerating the development of fusion energy technologies and solutions. As of end 2024, the Fusion Industry Association surveyed 45 companies (of which six based in the EU) involved in fusion energy development, with a remarkable increase of more than 30 companies (+200%) with respect to 2014. The stated goal of these companies is to develop and construct </w:t>
            </w:r>
            <w:r>
              <w:t>FPPs</w:t>
            </w:r>
            <w:r>
              <w:rPr>
                <w:color w:val="000000" w:themeColor="text1"/>
              </w:rPr>
              <w:t xml:space="preserve"> capable of feeding electricity into the grid starting in the 2</w:t>
            </w:r>
            <w:r>
              <w:t>040s</w:t>
            </w:r>
            <w:r>
              <w:rPr>
                <w:color w:val="000000" w:themeColor="text1"/>
              </w:rPr>
              <w:t xml:space="preserve">, ahead of the mid-century timeline envisioned by current public research programs. They have so far attracted over $7 </w:t>
            </w:r>
            <w:r>
              <w:t>billion</w:t>
            </w:r>
            <w:r>
              <w:rPr>
                <w:color w:val="000000" w:themeColor="text1"/>
              </w:rPr>
              <w:t xml:space="preserve"> in investments from both private and public entities, to investigate new approaches and to make available the necessary technologies such as superconducting magnets, tritium self-sufficiency, radiation resistant materials, and increase the overall efficiency and lifetime of the plants. </w:t>
            </w:r>
          </w:p>
          <w:p w14:paraId="4FF9A86F" w14:textId="04779635" w:rsidR="00586CB3" w:rsidRDefault="00410C93">
            <w:pPr>
              <w:pStyle w:val="Text2"/>
              <w:spacing w:after="60"/>
              <w:ind w:left="0"/>
              <w:rPr>
                <w:color w:val="000000" w:themeColor="text1"/>
                <w:lang w:val="en-US"/>
              </w:rPr>
            </w:pPr>
            <w:r>
              <w:rPr>
                <w:color w:val="000000" w:themeColor="text1"/>
              </w:rPr>
              <w:t xml:space="preserve">The fusion start-ups, </w:t>
            </w:r>
            <w:proofErr w:type="gramStart"/>
            <w:r>
              <w:rPr>
                <w:color w:val="000000" w:themeColor="text1"/>
              </w:rPr>
              <w:t>in particular</w:t>
            </w:r>
            <w:proofErr w:type="gramEnd"/>
            <w:r>
              <w:rPr>
                <w:color w:val="000000" w:themeColor="text1"/>
              </w:rPr>
              <w:t xml:space="preserve"> those based in the US, are increasingly participating in PPPs, which are emerging as a </w:t>
            </w:r>
            <w:proofErr w:type="gramStart"/>
            <w:r>
              <w:rPr>
                <w:color w:val="000000" w:themeColor="text1"/>
              </w:rPr>
              <w:t>strategic ways</w:t>
            </w:r>
            <w:proofErr w:type="gramEnd"/>
            <w:r>
              <w:rPr>
                <w:color w:val="000000" w:themeColor="text1"/>
              </w:rPr>
              <w:t xml:space="preserve"> to accelerate technological development and promote innovation by combining research expertise with industrial know-how.</w:t>
            </w:r>
          </w:p>
          <w:p w14:paraId="4FF9A870" w14:textId="77777777" w:rsidR="00586CB3" w:rsidRDefault="00410C93">
            <w:pPr>
              <w:pStyle w:val="Text2"/>
              <w:spacing w:after="60"/>
              <w:ind w:left="0"/>
            </w:pPr>
            <w:r>
              <w:rPr>
                <w:b/>
                <w:bCs/>
                <w:color w:val="000000" w:themeColor="text1"/>
                <w:szCs w:val="24"/>
              </w:rPr>
              <w:t>Europe</w:t>
            </w:r>
            <w:r>
              <w:rPr>
                <w:color w:val="000000" w:themeColor="text1"/>
                <w:szCs w:val="24"/>
              </w:rPr>
              <w:t xml:space="preserve"> has a long tradition of fusion research and development, and European industries have realised most of the key components of ITER reactor, through the European joint undertaking Fusion for Energy (F4E). In 2024 Euratom has launched a CSA-Coordination and Support Action, called </w:t>
            </w:r>
            <w:r>
              <w:rPr>
                <w:i/>
                <w:color w:val="000000" w:themeColor="text1"/>
                <w:szCs w:val="24"/>
              </w:rPr>
              <w:t>“GO4FUSION-</w:t>
            </w:r>
            <w:r>
              <w:rPr>
                <w:i/>
              </w:rPr>
              <w:t xml:space="preserve"> </w:t>
            </w:r>
            <w:r>
              <w:rPr>
                <w:i/>
                <w:color w:val="000000" w:themeColor="text1"/>
                <w:szCs w:val="24"/>
              </w:rPr>
              <w:t>Strategic Alliance for Building European Fusion Energy Partnership”</w:t>
            </w:r>
            <w:r>
              <w:rPr>
                <w:color w:val="000000" w:themeColor="text1"/>
                <w:szCs w:val="24"/>
              </w:rPr>
              <w:t xml:space="preserve"> aiming at preparing the framework for the establishment of PPP in fusion development. </w:t>
            </w:r>
            <w:r>
              <w:rPr>
                <w:color w:val="000000" w:themeColor="text1"/>
              </w:rPr>
              <w:t xml:space="preserve">However, the number of EU-based start-ups working on fusion (six out the aforementioned of forty-five) and financial </w:t>
            </w:r>
            <w:r>
              <w:rPr>
                <w:color w:val="000000" w:themeColor="text1"/>
              </w:rPr>
              <w:lastRenderedPageBreak/>
              <w:t xml:space="preserve">resources invested ($0.3 Billion out of $7 Billion) may raise concerns about the EU’s ability to ensure future technology autonomy in this field. There is a need to further stimulate and promote EU industrial engagement and capacity-building through </w:t>
            </w:r>
            <w:r>
              <w:rPr>
                <w:color w:val="000000" w:themeColor="text1"/>
                <w:szCs w:val="24"/>
              </w:rPr>
              <w:t>innovation to address the remaining technological gaps</w:t>
            </w:r>
            <w:r>
              <w:rPr>
                <w:color w:val="000000" w:themeColor="text1"/>
              </w:rPr>
              <w:t xml:space="preserve">. The European value chain can thus increase its leadership and competitiveness in fusion technologies, reducing the risks of MS’ (Member States) dependence on fuels, components and technology </w:t>
            </w:r>
            <w:r>
              <w:t xml:space="preserve">imports. </w:t>
            </w:r>
          </w:p>
          <w:p w14:paraId="4FF9A871" w14:textId="77777777" w:rsidR="00586CB3" w:rsidRDefault="00410C93">
            <w:pPr>
              <w:spacing w:after="60"/>
            </w:pPr>
            <w:r>
              <w:t xml:space="preserve">To overcome the challenges MS must invest collaboratively to develop a strong industry for fusion reactors in Europe. </w:t>
            </w:r>
          </w:p>
          <w:p w14:paraId="4FF9A872" w14:textId="77777777" w:rsidR="00586CB3" w:rsidRDefault="00410C93">
            <w:pPr>
              <w:pStyle w:val="Nadpis2"/>
              <w:tabs>
                <w:tab w:val="clear" w:pos="1077"/>
              </w:tabs>
              <w:spacing w:before="240" w:after="60"/>
              <w:ind w:left="306" w:hanging="204"/>
            </w:pPr>
            <w:r>
              <w:t>To what EU policy objectives will the initiative contribute? Does it have a significant impact on sustainable growth?</w:t>
            </w:r>
          </w:p>
          <w:p w14:paraId="4FF9A873" w14:textId="1C6A362D" w:rsidR="00586CB3" w:rsidRDefault="00410C93">
            <w:pPr>
              <w:pStyle w:val="Text2"/>
              <w:spacing w:after="60"/>
              <w:ind w:left="0"/>
            </w:pPr>
            <w:r>
              <w:t>According to the European Green Deal adopted in 2020, the MS will need to pursue an effective energy transition pathway. The proposed IPCEI on NFET is fully in line with the EU plan for ensuring sustainable prosperity and competitiveness, and decarbonising EU economy, while placing R&amp;I at its core to promote and enhance collaboration between research institutions, universities and industry. In the medium to long-term, fusion energy has the potential to have a major impact on sustainable growth, among other energy sources, given the main advantages summarized in section 2.1.</w:t>
            </w:r>
          </w:p>
          <w:p w14:paraId="4FF9A874" w14:textId="77777777" w:rsidR="00586CB3" w:rsidRDefault="00410C93">
            <w:pPr>
              <w:pStyle w:val="Nadpis2"/>
              <w:tabs>
                <w:tab w:val="clear" w:pos="1077"/>
              </w:tabs>
              <w:spacing w:before="240" w:after="60"/>
              <w:ind w:left="306" w:hanging="204"/>
            </w:pPr>
            <w:r>
              <w:t>What are the industrial policy challenges to overcome in the area?</w:t>
            </w:r>
          </w:p>
          <w:p w14:paraId="4FF9A875" w14:textId="2B30D964" w:rsidR="00586CB3" w:rsidRDefault="00410C93">
            <w:pPr>
              <w:pStyle w:val="Text2"/>
              <w:spacing w:after="60"/>
              <w:ind w:left="26"/>
            </w:pPr>
            <w:proofErr w:type="gramStart"/>
            <w:r>
              <w:t>In order to</w:t>
            </w:r>
            <w:proofErr w:type="gramEnd"/>
            <w:r>
              <w:t xml:space="preserve"> </w:t>
            </w:r>
            <w:r>
              <w:rPr>
                <w:rFonts w:eastAsiaTheme="minorEastAsia"/>
                <w:color w:val="000000" w:themeColor="text1"/>
                <w:szCs w:val="24"/>
                <w:lang w:val="en-US"/>
              </w:rPr>
              <w:t>close the still existing scientific and technological gaps,</w:t>
            </w:r>
            <w:r>
              <w:t xml:space="preserve"> large amounts of investment are needed to scale up innovation, production capacity and develop key technologies for building FPPs. Private sector investments are hindered by high risks and financing challenges associated with critical infrastructure like testing facilities and pilot projects. </w:t>
            </w:r>
          </w:p>
          <w:p w14:paraId="4FF9A876" w14:textId="77777777" w:rsidR="00586CB3" w:rsidRDefault="00410C93">
            <w:pPr>
              <w:pStyle w:val="Text2"/>
              <w:spacing w:after="60"/>
              <w:ind w:left="26"/>
            </w:pPr>
            <w:r>
              <w:t>To secure the EU’s position as a global leader in fusion energy development, key industrial policy challenges must be addressed, including fragmented R&amp;D&amp;I (Research and Development and Innovation) activities and significant development costs.</w:t>
            </w:r>
          </w:p>
          <w:p w14:paraId="4FF9A877" w14:textId="77777777" w:rsidR="00586CB3" w:rsidRDefault="00410C93">
            <w:pPr>
              <w:pStyle w:val="Nadpis2"/>
              <w:tabs>
                <w:tab w:val="clear" w:pos="1077"/>
              </w:tabs>
              <w:spacing w:before="240" w:after="60"/>
              <w:ind w:left="306" w:hanging="204"/>
            </w:pPr>
            <w:r>
              <w:t>What types of research and development and innovation (RDI) or first industrial deployment activities (FID</w:t>
            </w:r>
            <w:r>
              <w:rPr>
                <w:vertAlign w:val="superscript"/>
              </w:rPr>
              <w:footnoteReference w:id="3"/>
            </w:r>
            <w:r>
              <w:t>) need to be conducted? For RDI-activities, why would they be of major innovative nature or constitute an important added value in light of the state of the art? For FID activities, why do they allow for the development of a new product or service with high research and innovation content or the deployment of a fundamentally innovative production process?</w:t>
            </w:r>
          </w:p>
          <w:p w14:paraId="4FF9A878" w14:textId="77777777" w:rsidR="00586CB3" w:rsidRDefault="00410C93">
            <w:pPr>
              <w:pStyle w:val="Text2"/>
              <w:spacing w:after="60"/>
              <w:ind w:left="0"/>
            </w:pPr>
            <w:r>
              <w:t xml:space="preserve">The development of FPPs will require both RDI and FID activities. In terms of RDI, the projects embody the results of research on the systems and individual components that have been ongoing worldwide for decades. To be able to produce them on an industrial scale for FPPs, they require the development of new technologies as well as the development of special management processes for tritium components not yet on the market, as well as to push high temperature superconducting materials beyond their current achievements. Moreover, FID activities will have to be conducted to build prototypes, validate technologies, optimize processes, realize test facilities for the off-line characterization of huge components and train technicians. The innovations will </w:t>
            </w:r>
            <w:r>
              <w:lastRenderedPageBreak/>
              <w:t>cover the entire value chain, from the requirements definition of reactors to new manufacturing processes for components and sub-systems.</w:t>
            </w:r>
          </w:p>
          <w:p w14:paraId="4FF9A879" w14:textId="77777777" w:rsidR="00586CB3" w:rsidRDefault="00410C93">
            <w:pPr>
              <w:pStyle w:val="Nadpis2"/>
              <w:tabs>
                <w:tab w:val="clear" w:pos="1077"/>
              </w:tabs>
              <w:spacing w:before="240" w:after="60"/>
              <w:ind w:left="306" w:hanging="204"/>
            </w:pPr>
            <w:r>
              <w:rPr>
                <w:lang w:val="en-IE"/>
              </w:rPr>
              <w:t xml:space="preserve">Is the initiative related to an integrated infrastructure </w:t>
            </w:r>
            <w:r>
              <w:t>project in the environmental, energy, transport, health or digital sectors? If yes, please explain why it is of great importance for the respective EU strategies or why it will contribute significantly to the internal market.</w:t>
            </w:r>
          </w:p>
          <w:p w14:paraId="4FF9A87A" w14:textId="77777777" w:rsidR="00586CB3" w:rsidRDefault="00410C93">
            <w:pPr>
              <w:pStyle w:val="Text2"/>
              <w:spacing w:afterLines="60" w:after="144"/>
              <w:ind w:left="0"/>
            </w:pPr>
            <w:r>
              <w:t>To properly advance there is the need to develop EU integrated infrastructure projects to validate the most promising concepts and qualify industrial solutions and processes by means of shared facilities to overcome all major challenges towards first of a kind fusion reactor(s) and their commercialization phase. Specific integrated infrastructure projects could be identified further in the design process, based on MS’ feedback.</w:t>
            </w:r>
          </w:p>
        </w:tc>
      </w:tr>
      <w:tr w:rsidR="00586CB3" w14:paraId="4FF9A87D" w14:textId="77777777">
        <w:tc>
          <w:tcPr>
            <w:tcW w:w="8602" w:type="dxa"/>
            <w:tcBorders>
              <w:top w:val="single" w:sz="4" w:space="0" w:color="auto"/>
              <w:left w:val="nil"/>
              <w:bottom w:val="single" w:sz="4" w:space="0" w:color="auto"/>
              <w:right w:val="nil"/>
            </w:tcBorders>
          </w:tcPr>
          <w:p w14:paraId="4FF9A87C" w14:textId="77777777" w:rsidR="00586CB3" w:rsidRDefault="00586CB3">
            <w:pPr>
              <w:spacing w:afterLines="60" w:after="144"/>
              <w:rPr>
                <w:i/>
                <w:iCs/>
              </w:rPr>
            </w:pPr>
          </w:p>
        </w:tc>
      </w:tr>
      <w:tr w:rsidR="00586CB3" w14:paraId="4FF9A87F" w14:textId="77777777">
        <w:tc>
          <w:tcPr>
            <w:tcW w:w="8602"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4FF9A87E" w14:textId="77777777" w:rsidR="00586CB3" w:rsidRDefault="00410C93">
            <w:pPr>
              <w:pStyle w:val="Nadpis1"/>
              <w:spacing w:afterLines="60" w:after="144"/>
            </w:pPr>
            <w:r>
              <w:t>EU Dimension</w:t>
            </w:r>
          </w:p>
        </w:tc>
      </w:tr>
      <w:tr w:rsidR="00586CB3" w14:paraId="4FF9A888" w14:textId="77777777">
        <w:tc>
          <w:tcPr>
            <w:tcW w:w="8602" w:type="dxa"/>
            <w:tcBorders>
              <w:top w:val="single" w:sz="4" w:space="0" w:color="auto"/>
              <w:bottom w:val="single" w:sz="4" w:space="0" w:color="auto"/>
            </w:tcBorders>
          </w:tcPr>
          <w:p w14:paraId="4FF9A880" w14:textId="77777777" w:rsidR="00586CB3" w:rsidRDefault="00410C93">
            <w:pPr>
              <w:spacing w:afterLines="60" w:after="144"/>
              <w:rPr>
                <w:i/>
                <w:iCs/>
              </w:rPr>
            </w:pPr>
            <w:r>
              <w:rPr>
                <w:i/>
                <w:iCs/>
              </w:rPr>
              <w:t xml:space="preserve">This section aims at assessing the relevance of an intervention at EU level in the proposed area. </w:t>
            </w:r>
          </w:p>
          <w:p w14:paraId="4FF9A881" w14:textId="77777777" w:rsidR="00586CB3" w:rsidRDefault="00586CB3">
            <w:pPr>
              <w:spacing w:afterLines="60" w:after="144"/>
              <w:rPr>
                <w:i/>
                <w:iCs/>
              </w:rPr>
            </w:pPr>
          </w:p>
          <w:p w14:paraId="4FF9A882" w14:textId="77777777" w:rsidR="00586CB3" w:rsidRDefault="00410C93">
            <w:pPr>
              <w:pStyle w:val="Nadpis2"/>
              <w:tabs>
                <w:tab w:val="clear" w:pos="1077"/>
              </w:tabs>
              <w:spacing w:after="60"/>
              <w:ind w:left="306" w:hanging="204"/>
            </w:pPr>
            <w:r>
              <w:t>What would be the EU value-added of an intervention in this area?</w:t>
            </w:r>
          </w:p>
          <w:p w14:paraId="4FF9A883" w14:textId="77777777" w:rsidR="00586CB3" w:rsidRDefault="00410C93">
            <w:pPr>
              <w:pStyle w:val="Text2"/>
              <w:spacing w:afterLines="60" w:after="144"/>
              <w:ind w:left="0"/>
            </w:pPr>
            <w:r>
              <w:t xml:space="preserve">The proposed IPCEI on NFET will develop a cohesive ecosystem of industries, start-ups, </w:t>
            </w:r>
            <w:r>
              <w:rPr>
                <w:rFonts w:cs="Calibri"/>
                <w:szCs w:val="22"/>
                <w:lang w:eastAsia="de-DE"/>
              </w:rPr>
              <w:t>research institutions</w:t>
            </w:r>
            <w:r>
              <w:t xml:space="preserve"> and </w:t>
            </w:r>
            <w:r>
              <w:rPr>
                <w:rFonts w:cs="Calibri"/>
                <w:szCs w:val="22"/>
                <w:lang w:eastAsia="de-DE"/>
              </w:rPr>
              <w:t xml:space="preserve">universities </w:t>
            </w:r>
            <w:r>
              <w:t>throughout the entire fusion energy value chain.</w:t>
            </w:r>
            <w:r>
              <w:rPr>
                <w:color w:val="000000" w:themeColor="text1"/>
              </w:rPr>
              <w:t xml:space="preserve"> As highlighted in the Draghi Report on “</w:t>
            </w:r>
            <w:r>
              <w:rPr>
                <w:i/>
                <w:iCs/>
                <w:color w:val="000000" w:themeColor="text1"/>
              </w:rPr>
              <w:t>The future of European competitiveness</w:t>
            </w:r>
            <w:r>
              <w:rPr>
                <w:color w:val="000000" w:themeColor="text1"/>
              </w:rPr>
              <w:t xml:space="preserve">”, </w:t>
            </w:r>
            <w:r>
              <w:t xml:space="preserve">this approach will promote systemic collaboration between stakeholders, </w:t>
            </w:r>
            <w:r>
              <w:rPr>
                <w:rFonts w:cs="Calibri"/>
                <w:szCs w:val="22"/>
                <w:lang w:eastAsia="de-DE"/>
              </w:rPr>
              <w:t xml:space="preserve">across the EU </w:t>
            </w:r>
            <w:r>
              <w:t xml:space="preserve">MS, ensuring that innovations can move efficiently from research to market. It will improve </w:t>
            </w:r>
            <w:r>
              <w:rPr>
                <w:rFonts w:cs="Calibri"/>
                <w:szCs w:val="22"/>
                <w:lang w:eastAsia="de-DE"/>
              </w:rPr>
              <w:t>the scalability of this technology and strengthen the EU’s leadership in the strategic sectors of fusion energy contributing to the decarbonisation of EU economy.</w:t>
            </w:r>
          </w:p>
          <w:p w14:paraId="4FF9A884" w14:textId="77777777" w:rsidR="00586CB3" w:rsidRDefault="00410C93">
            <w:pPr>
              <w:pStyle w:val="Nadpis2"/>
              <w:tabs>
                <w:tab w:val="clear" w:pos="1077"/>
              </w:tabs>
              <w:spacing w:before="240" w:after="60"/>
              <w:ind w:left="306" w:hanging="204"/>
            </w:pPr>
            <w:r>
              <w:t>Which positive spill-over effects to the EU economy/society would the initiative deliver?</w:t>
            </w:r>
          </w:p>
          <w:p w14:paraId="4FF9A885" w14:textId="77777777" w:rsidR="00586CB3" w:rsidRDefault="00410C93">
            <w:pPr>
              <w:pStyle w:val="Text2"/>
              <w:spacing w:afterLines="60" w:after="144"/>
              <w:ind w:left="0"/>
            </w:pPr>
            <w:r>
              <w:t xml:space="preserve">The proposed IPCEI on NFET is expected benefit the EU economy and society through advancing technological leadership, enhancing EU R&amp;D capacity and knowledge sharing, job creation, </w:t>
            </w:r>
            <w:r>
              <w:rPr>
                <w:rFonts w:cs="Calibri"/>
                <w:lang w:eastAsia="de-DE"/>
              </w:rPr>
              <w:t>enabling new industries and attracting investments,</w:t>
            </w:r>
            <w:r>
              <w:t xml:space="preserve"> strengthening energy independency and security. These positive effects align closely with the EU's strategic and goals of sustainable growth and competitiveness across multiple sectors.</w:t>
            </w:r>
          </w:p>
          <w:p w14:paraId="4FF9A886" w14:textId="77777777" w:rsidR="00586CB3" w:rsidRDefault="00410C93">
            <w:pPr>
              <w:pStyle w:val="Nadpis2"/>
              <w:tabs>
                <w:tab w:val="clear" w:pos="1077"/>
              </w:tabs>
              <w:spacing w:before="240" w:after="60"/>
              <w:ind w:left="306" w:hanging="204"/>
            </w:pPr>
            <w:r>
              <w:t>Would the initiative address or aim to prevent a significant EU strategic dependency? If yes, please describe which dependency and how the initiative addresses it.</w:t>
            </w:r>
          </w:p>
          <w:p w14:paraId="4FF9A887" w14:textId="77777777" w:rsidR="00586CB3" w:rsidRDefault="00410C93">
            <w:pPr>
              <w:pStyle w:val="Text2"/>
              <w:spacing w:afterLines="60" w:after="144"/>
              <w:ind w:left="0"/>
            </w:pPr>
            <w:r>
              <w:t xml:space="preserve">The proposed IPCEI on NFET aims at securing the EU’s strategic autonomy in this emerging field, ensuring that EU companies would be able to compete in the development and production of components and of power plants. Examples of such key technologies are superconducting magnets, tritium breeding blankets, divertors, remote handling systems, structural, functional and optical materials, high-power lasers, digital-twin capabilities, etc. By promoting EU-based fusion energy-related facilities, with integrated supply chains, the initiative would minimize Europe’s reliance on imported key technologies for future FPPs.  Moreover, competitive energy production from FPP </w:t>
            </w:r>
            <w:r>
              <w:lastRenderedPageBreak/>
              <w:t>will also reduce the need to import natural gas used in combined-cycle plants with carbon capture and storage.</w:t>
            </w:r>
          </w:p>
        </w:tc>
      </w:tr>
      <w:tr w:rsidR="00586CB3" w14:paraId="4FF9A88A" w14:textId="77777777">
        <w:tc>
          <w:tcPr>
            <w:tcW w:w="8602" w:type="dxa"/>
            <w:tcBorders>
              <w:top w:val="single" w:sz="4" w:space="0" w:color="auto"/>
              <w:left w:val="nil"/>
              <w:bottom w:val="single" w:sz="4" w:space="0" w:color="auto"/>
              <w:right w:val="nil"/>
            </w:tcBorders>
          </w:tcPr>
          <w:p w14:paraId="4FF9A889" w14:textId="77777777" w:rsidR="00586CB3" w:rsidRDefault="00586CB3">
            <w:pPr>
              <w:spacing w:afterLines="60" w:after="144"/>
              <w:rPr>
                <w:i/>
                <w:iCs/>
              </w:rPr>
            </w:pPr>
          </w:p>
        </w:tc>
      </w:tr>
      <w:tr w:rsidR="00586CB3" w14:paraId="4FF9A88C" w14:textId="77777777">
        <w:tc>
          <w:tcPr>
            <w:tcW w:w="8602"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4FF9A88B" w14:textId="77777777" w:rsidR="00586CB3" w:rsidRDefault="00410C93">
            <w:pPr>
              <w:pStyle w:val="Nadpis1"/>
              <w:spacing w:afterLines="60" w:after="144"/>
            </w:pPr>
            <w:r>
              <w:t>Market Dimension</w:t>
            </w:r>
          </w:p>
        </w:tc>
      </w:tr>
      <w:tr w:rsidR="00586CB3" w14:paraId="4FF9A8C9" w14:textId="77777777">
        <w:tc>
          <w:tcPr>
            <w:tcW w:w="8602" w:type="dxa"/>
            <w:tcBorders>
              <w:top w:val="single" w:sz="4" w:space="0" w:color="auto"/>
              <w:left w:val="single" w:sz="4" w:space="0" w:color="auto"/>
              <w:bottom w:val="single" w:sz="4" w:space="0" w:color="auto"/>
              <w:right w:val="single" w:sz="4" w:space="0" w:color="auto"/>
            </w:tcBorders>
          </w:tcPr>
          <w:p w14:paraId="4FF9A88D" w14:textId="77777777" w:rsidR="00586CB3" w:rsidRDefault="00410C93">
            <w:pPr>
              <w:spacing w:afterLines="60" w:after="144"/>
              <w:rPr>
                <w:i/>
                <w:iCs/>
              </w:rPr>
            </w:pPr>
            <w:r>
              <w:rPr>
                <w:i/>
                <w:iCs/>
              </w:rPr>
              <w:t xml:space="preserve">The objective of this section is to assess whether there is a need for public intervention in the area. </w:t>
            </w:r>
          </w:p>
          <w:p w14:paraId="4FF9A88E" w14:textId="77777777" w:rsidR="00586CB3" w:rsidRDefault="00586CB3">
            <w:pPr>
              <w:spacing w:afterLines="60" w:after="144"/>
              <w:rPr>
                <w:i/>
                <w:iCs/>
              </w:rPr>
            </w:pPr>
          </w:p>
          <w:p w14:paraId="4FF9A88F" w14:textId="77777777" w:rsidR="00586CB3" w:rsidRDefault="00410C93">
            <w:pPr>
              <w:pStyle w:val="Nadpis2"/>
              <w:tabs>
                <w:tab w:val="clear" w:pos="1077"/>
              </w:tabs>
              <w:spacing w:after="60"/>
              <w:ind w:left="306" w:hanging="204"/>
            </w:pPr>
            <w:r>
              <w:t xml:space="preserve">What </w:t>
            </w:r>
            <w:proofErr w:type="gramStart"/>
            <w:r>
              <w:t>are</w:t>
            </w:r>
            <w:proofErr w:type="gramEnd"/>
            <w:r>
              <w:t xml:space="preserve"> the important market, systemic failures, or societal challenges that the initiative will address? Why is public intervention necessary? </w:t>
            </w:r>
          </w:p>
          <w:p w14:paraId="4FF9A890" w14:textId="77777777" w:rsidR="00586CB3" w:rsidRDefault="00410C93">
            <w:pPr>
              <w:spacing w:after="60"/>
              <w:rPr>
                <w:sz w:val="23"/>
                <w:szCs w:val="23"/>
              </w:rPr>
            </w:pPr>
            <w:r>
              <w:rPr>
                <w:sz w:val="23"/>
                <w:szCs w:val="23"/>
              </w:rPr>
              <w:t xml:space="preserve">The initiative would address </w:t>
            </w:r>
            <w:r>
              <w:rPr>
                <w:b/>
                <w:bCs/>
                <w:sz w:val="23"/>
                <w:szCs w:val="23"/>
              </w:rPr>
              <w:t>four main causes of market failure</w:t>
            </w:r>
            <w:r>
              <w:rPr>
                <w:sz w:val="23"/>
                <w:szCs w:val="23"/>
              </w:rPr>
              <w:t xml:space="preserve"> related to: negative and positive externalities, coordination problems and imperfect information.</w:t>
            </w:r>
          </w:p>
          <w:p w14:paraId="4FF9A891" w14:textId="77777777" w:rsidR="00586CB3" w:rsidRDefault="00586CB3">
            <w:pPr>
              <w:spacing w:after="60"/>
              <w:rPr>
                <w:sz w:val="23"/>
                <w:szCs w:val="23"/>
              </w:rPr>
            </w:pPr>
          </w:p>
          <w:p w14:paraId="4FF9A892" w14:textId="77777777" w:rsidR="00586CB3" w:rsidRDefault="00410C93">
            <w:pPr>
              <w:spacing w:after="60"/>
              <w:rPr>
                <w:sz w:val="23"/>
                <w:szCs w:val="23"/>
              </w:rPr>
            </w:pPr>
            <w:r>
              <w:rPr>
                <w:b/>
                <w:bCs/>
                <w:sz w:val="23"/>
                <w:szCs w:val="23"/>
              </w:rPr>
              <w:t>Negative externalities</w:t>
            </w:r>
            <w:r>
              <w:rPr>
                <w:sz w:val="23"/>
                <w:szCs w:val="23"/>
              </w:rPr>
              <w:t xml:space="preserve">: </w:t>
            </w:r>
          </w:p>
          <w:p w14:paraId="4FF9A893" w14:textId="77777777" w:rsidR="00586CB3" w:rsidRDefault="00410C93">
            <w:pPr>
              <w:pStyle w:val="Odsekzoznamu"/>
              <w:numPr>
                <w:ilvl w:val="0"/>
                <w:numId w:val="30"/>
              </w:numPr>
              <w:spacing w:after="60"/>
              <w:ind w:left="444"/>
              <w:contextualSpacing w:val="0"/>
              <w:rPr>
                <w:sz w:val="23"/>
                <w:szCs w:val="23"/>
              </w:rPr>
            </w:pPr>
            <w:r>
              <w:rPr>
                <w:b/>
                <w:bCs/>
                <w:i/>
                <w:iCs/>
                <w:sz w:val="23"/>
                <w:szCs w:val="23"/>
              </w:rPr>
              <w:t>Inability to internalise supply chain disruption risks</w:t>
            </w:r>
            <w:r>
              <w:rPr>
                <w:sz w:val="23"/>
                <w:szCs w:val="23"/>
              </w:rPr>
              <w:t xml:space="preserve">. The widespread availability of the raw materials for producing nuclear fusion fuels reduces the risks associated with sourcing and trading materials, as well as the geopolitical tensions tied to supply chains. In particular, deuterium may be directly attainable by seawater processing, while tritium, being bred by irradiating lithium due to plant self-sufficiency, request a relatively small amount of natural lithium compared to that typically traded within other lithium-relevant markets </w:t>
            </w:r>
            <w:r>
              <w:rPr>
                <w:sz w:val="23"/>
                <w:szCs w:val="23"/>
                <w:lang w:val="en-US"/>
              </w:rPr>
              <w:t xml:space="preserve">(batteries, </w:t>
            </w:r>
            <w:proofErr w:type="spellStart"/>
            <w:r>
              <w:rPr>
                <w:sz w:val="23"/>
                <w:szCs w:val="23"/>
                <w:lang w:val="en-US"/>
              </w:rPr>
              <w:t>defence</w:t>
            </w:r>
            <w:proofErr w:type="spellEnd"/>
            <w:r>
              <w:rPr>
                <w:sz w:val="23"/>
                <w:szCs w:val="23"/>
                <w:lang w:val="en-US"/>
              </w:rPr>
              <w:t>, satellite sectors…)</w:t>
            </w:r>
            <w:r>
              <w:rPr>
                <w:sz w:val="23"/>
                <w:szCs w:val="23"/>
              </w:rPr>
              <w:t xml:space="preserve">, so minimizing sourcing and trading issues and concerns. Additionally, </w:t>
            </w:r>
            <w:r>
              <w:t>FPPs</w:t>
            </w:r>
            <w:r>
              <w:rPr>
                <w:sz w:val="23"/>
                <w:szCs w:val="23"/>
              </w:rPr>
              <w:t xml:space="preserve"> can be located in a broader range of locations compared to renewable energy sources, which are often constrained by natural conditions such as wind and high solar radiation sunlight</w:t>
            </w:r>
            <w:r>
              <w:rPr>
                <w:rStyle w:val="Odkaznapoznmkupodiarou"/>
                <w:sz w:val="23"/>
                <w:szCs w:val="23"/>
              </w:rPr>
              <w:footnoteReference w:id="4"/>
            </w:r>
            <w:r>
              <w:rPr>
                <w:sz w:val="23"/>
                <w:szCs w:val="23"/>
              </w:rPr>
              <w:t xml:space="preserve"> to specific locations occupying very big areas. However, the development of a nuclear fusion fuel cycle will require important investments that cannot be solely born by emerging fusion companies.</w:t>
            </w:r>
          </w:p>
          <w:p w14:paraId="4FF9A894" w14:textId="779032CA" w:rsidR="00586CB3" w:rsidRDefault="00410C93">
            <w:pPr>
              <w:pStyle w:val="Odsekzoznamu"/>
              <w:numPr>
                <w:ilvl w:val="0"/>
                <w:numId w:val="30"/>
              </w:numPr>
              <w:spacing w:after="60"/>
              <w:ind w:left="444"/>
              <w:contextualSpacing w:val="0"/>
              <w:rPr>
                <w:sz w:val="23"/>
                <w:szCs w:val="23"/>
              </w:rPr>
            </w:pPr>
            <w:r>
              <w:rPr>
                <w:b/>
                <w:bCs/>
                <w:i/>
                <w:iCs/>
                <w:sz w:val="23"/>
                <w:szCs w:val="23"/>
              </w:rPr>
              <w:t>Mitigation of pollution and waste generation</w:t>
            </w:r>
            <w:r>
              <w:rPr>
                <w:sz w:val="23"/>
                <w:szCs w:val="23"/>
              </w:rPr>
              <w:t xml:space="preserve">. Fusion is potentially one of the most environmentally sustainable energy sources. It does not contribute to the buildup of greenhouse gases, and it does not generate long-lived radioactive waste, even if lower-risk waste management (e.g. tritiated waste or waste resulting from the activation of materials) must still be considered. Environmental externalities are not typically reflected in the energy prices, thus expected social benefits from fusion energy, in terms of avoided pollution and waste, are not accounted for today by companies investing in this technology. </w:t>
            </w:r>
          </w:p>
          <w:p w14:paraId="4FF9A895" w14:textId="77777777" w:rsidR="00586CB3" w:rsidRDefault="00410C93">
            <w:pPr>
              <w:spacing w:after="60"/>
              <w:rPr>
                <w:sz w:val="23"/>
                <w:szCs w:val="23"/>
              </w:rPr>
            </w:pPr>
            <w:r>
              <w:rPr>
                <w:b/>
                <w:bCs/>
                <w:sz w:val="23"/>
                <w:szCs w:val="23"/>
              </w:rPr>
              <w:t>Positive externalities</w:t>
            </w:r>
            <w:r>
              <w:rPr>
                <w:sz w:val="23"/>
                <w:szCs w:val="23"/>
              </w:rPr>
              <w:t>. Nuclear fusion represents an innovative approach to energy production with the potential for significant environmental and societal benefits. As a disruptive technology, it promises clean, abundant energy with primary applications in power generation. Beyond this, nuclear fusion could revolutionise multiple sectors, including advanced materials, medicine, manufacturing, and space exploration</w:t>
            </w:r>
            <w:r>
              <w:rPr>
                <w:rStyle w:val="Odkaznapoznmkupodiarou"/>
                <w:sz w:val="23"/>
                <w:szCs w:val="23"/>
              </w:rPr>
              <w:footnoteReference w:id="5"/>
            </w:r>
            <w:r>
              <w:rPr>
                <w:sz w:val="23"/>
                <w:szCs w:val="23"/>
              </w:rPr>
              <w:t xml:space="preserve">. In 2024, Fusion for Energy (F4E) and </w:t>
            </w:r>
            <w:proofErr w:type="spellStart"/>
            <w:r>
              <w:rPr>
                <w:sz w:val="23"/>
                <w:szCs w:val="23"/>
              </w:rPr>
              <w:t>EUROfusion</w:t>
            </w:r>
            <w:proofErr w:type="spellEnd"/>
            <w:r>
              <w:rPr>
                <w:sz w:val="23"/>
                <w:szCs w:val="23"/>
              </w:rPr>
              <w:t xml:space="preserve"> have partnered to launch the European Fusion Technology Marketplace, a joint platform to promote technology transfer from the field of fusion to other domains.</w:t>
            </w:r>
            <w:r>
              <w:rPr>
                <w:rStyle w:val="Odkaznapoznmkupodiarou"/>
                <w:sz w:val="23"/>
                <w:szCs w:val="23"/>
              </w:rPr>
              <w:footnoteReference w:id="6"/>
            </w:r>
            <w:r>
              <w:rPr>
                <w:sz w:val="23"/>
                <w:szCs w:val="23"/>
              </w:rPr>
              <w:t xml:space="preserve"> However, the full realisation of these benefits may prove challenging for the companies involved, since external parties may gain from the </w:t>
            </w:r>
            <w:r>
              <w:rPr>
                <w:sz w:val="23"/>
                <w:szCs w:val="23"/>
              </w:rPr>
              <w:lastRenderedPageBreak/>
              <w:t>innovations generated through these companies' R&amp;D&amp;I efforts without compensating them in full for their contributions.</w:t>
            </w:r>
          </w:p>
          <w:p w14:paraId="4FF9A896" w14:textId="77777777" w:rsidR="00586CB3" w:rsidRDefault="00410C93">
            <w:pPr>
              <w:spacing w:before="100" w:beforeAutospacing="1" w:after="100" w:afterAutospacing="1"/>
              <w:rPr>
                <w:bCs/>
                <w:sz w:val="23"/>
                <w:szCs w:val="23"/>
              </w:rPr>
            </w:pPr>
            <w:r w:rsidRPr="004E10E8">
              <w:rPr>
                <w:sz w:val="23"/>
                <w:szCs w:val="23"/>
              </w:rPr>
              <w:t>Some Member States of the EU may consider that the current regulation of fusion facilities in the EU would need to be standardized, considering this would support the competitiveness of the European fusion industry, reduce both time and costs in R&amp;D activities, while limiting fragmentation</w:t>
            </w:r>
            <w:r>
              <w:rPr>
                <w:sz w:val="23"/>
                <w:szCs w:val="23"/>
              </w:rPr>
              <w:t xml:space="preserve">. </w:t>
            </w:r>
            <w:r>
              <w:rPr>
                <w:bCs/>
                <w:sz w:val="23"/>
                <w:szCs w:val="23"/>
              </w:rPr>
              <w:t>International R&amp;D projects (e.g. ITER</w:t>
            </w:r>
            <w:r>
              <w:rPr>
                <w:rStyle w:val="Odkaznapoznmkupodiarou"/>
                <w:bCs/>
                <w:sz w:val="23"/>
                <w:szCs w:val="23"/>
              </w:rPr>
              <w:footnoteReference w:id="7"/>
            </w:r>
            <w:r>
              <w:rPr>
                <w:bCs/>
                <w:sz w:val="23"/>
                <w:szCs w:val="23"/>
              </w:rPr>
              <w:t>) are demonstrating that synergies can be created even in very complex initiatives and with long time horizons. The recent IAEA initiative</w:t>
            </w:r>
            <w:r>
              <w:rPr>
                <w:rStyle w:val="Odkaznapoznmkupodiarou"/>
                <w:bCs/>
                <w:sz w:val="23"/>
                <w:szCs w:val="23"/>
              </w:rPr>
              <w:footnoteReference w:id="8"/>
            </w:r>
            <w:r>
              <w:rPr>
                <w:bCs/>
                <w:sz w:val="23"/>
                <w:szCs w:val="23"/>
              </w:rPr>
              <w:t xml:space="preserve"> addresses the need for a tailored regulatory framework for nuclear fusion energy, harmonized worldwide, and aims to facilitate common investment decisions on its technology and industrial development. This underscores the need to advance both EU and international efforts in nuclear fusion development. Support from the IPCEI can help streamline this process and avoid fragmentation, including through the definition of guidelines, fostering greater collaboration across borders and reducing the risks of lagging behind competitors.</w:t>
            </w:r>
          </w:p>
          <w:p w14:paraId="4FF9A897" w14:textId="5C794898" w:rsidR="00586CB3" w:rsidRDefault="00410C93">
            <w:pPr>
              <w:spacing w:after="60"/>
              <w:rPr>
                <w:sz w:val="23"/>
                <w:szCs w:val="23"/>
              </w:rPr>
            </w:pPr>
            <w:r>
              <w:rPr>
                <w:b/>
                <w:bCs/>
                <w:sz w:val="23"/>
                <w:szCs w:val="23"/>
              </w:rPr>
              <w:t>Information asymmetries</w:t>
            </w:r>
            <w:r>
              <w:rPr>
                <w:sz w:val="23"/>
                <w:szCs w:val="23"/>
              </w:rPr>
              <w:t>. Experts and stakeholders have still different views on the timelines of fusion energy viability, as well as when it will attain commercial feasibility. This uncertainty, combined with insufficient information regarding the reliability, performance, cost-effectiveness, policy direction, safety and environmental impact of fusion energy, is undermining investors' willingness to commit to this emerging sector. This trend is evident in the European venture capital market, whereas on a global scale, the majority of venture-capital-backed companies in the nuclear fusion sector are based in the USA, followed by Asia and then EU</w:t>
            </w:r>
            <w:r>
              <w:rPr>
                <w:rStyle w:val="Odkaznapoznmkupodiarou"/>
                <w:sz w:val="23"/>
                <w:szCs w:val="23"/>
              </w:rPr>
              <w:footnoteReference w:id="9"/>
            </w:r>
            <w:r>
              <w:rPr>
                <w:sz w:val="23"/>
                <w:szCs w:val="23"/>
              </w:rPr>
              <w:t xml:space="preserve">. State support would be a valid tool to stimulate </w:t>
            </w:r>
            <w:r>
              <w:t xml:space="preserve">RDI </w:t>
            </w:r>
            <w:r>
              <w:rPr>
                <w:sz w:val="23"/>
                <w:szCs w:val="23"/>
              </w:rPr>
              <w:t>initiatives for nuclear fusion energy production.</w:t>
            </w:r>
          </w:p>
          <w:p w14:paraId="4FF9A898" w14:textId="77777777" w:rsidR="00586CB3" w:rsidRDefault="00410C93">
            <w:pPr>
              <w:pStyle w:val="Nadpis2"/>
              <w:tabs>
                <w:tab w:val="clear" w:pos="1077"/>
              </w:tabs>
              <w:spacing w:before="240" w:after="60"/>
              <w:ind w:left="306" w:hanging="204"/>
            </w:pPr>
            <w:r>
              <w:t xml:space="preserve">Is there an existing EU value chain in the area? </w:t>
            </w:r>
          </w:p>
          <w:p w14:paraId="4FF9A899" w14:textId="77777777" w:rsidR="00586CB3" w:rsidRDefault="00410C93">
            <w:pPr>
              <w:spacing w:after="60"/>
              <w:rPr>
                <w:lang w:val="en-US"/>
              </w:rPr>
            </w:pPr>
            <w:r>
              <w:rPr>
                <w:lang w:val="en-US"/>
              </w:rPr>
              <w:t>The fusion energy sector is poised for unprecedented growth, creating unique supply chain demands that present significant opportunities for businesses across various industries. The EU has a rich ecosystem of companies involved in the development of fusion energy technologies (FETs) including manufacturers, service providers, engineering, procurement and system developers.</w:t>
            </w:r>
          </w:p>
          <w:p w14:paraId="4FF9A89A" w14:textId="77777777" w:rsidR="00586CB3" w:rsidRDefault="00410C93">
            <w:pPr>
              <w:spacing w:after="60"/>
              <w:rPr>
                <w:szCs w:val="24"/>
              </w:rPr>
            </w:pPr>
            <w:r>
              <w:rPr>
                <w:szCs w:val="24"/>
                <w:lang w:val="en-US"/>
              </w:rPr>
              <w:t xml:space="preserve">The world market is still limited due to the discontinuity of large-scale projects, and the long time required for planning and building relevant facilities, hampering the transition from laboratories - and science-driven to an industry-driven venture. </w:t>
            </w:r>
          </w:p>
          <w:p w14:paraId="4FF9A89B" w14:textId="77777777" w:rsidR="00586CB3" w:rsidRDefault="00410C93">
            <w:pPr>
              <w:spacing w:after="60"/>
              <w:rPr>
                <w:szCs w:val="24"/>
                <w:lang w:val="en-US"/>
              </w:rPr>
            </w:pPr>
            <w:r>
              <w:rPr>
                <w:szCs w:val="24"/>
                <w:lang w:val="en-US"/>
              </w:rPr>
              <w:t>The supply chain of FPPs will draw on established industries such as building construction, steel, mechanics, robotics and power electronics. It will also introduce specialized needs that require advanced technologies and expertise (such as high-powered magnets, laser components, high power flux components, advanced cooling, advanced materials, high-powered semiconductors, high-temperature superconductors, fusion fuel production and management, etc.).</w:t>
            </w:r>
          </w:p>
          <w:p w14:paraId="4FF9A89C" w14:textId="77777777" w:rsidR="00586CB3" w:rsidRDefault="00586CB3">
            <w:pPr>
              <w:spacing w:after="60"/>
              <w:rPr>
                <w:szCs w:val="24"/>
                <w:lang w:val="en-US"/>
              </w:rPr>
            </w:pPr>
          </w:p>
          <w:p w14:paraId="4FF9A89D" w14:textId="77777777" w:rsidR="00586CB3" w:rsidRDefault="00410C93">
            <w:pPr>
              <w:spacing w:after="60"/>
              <w:rPr>
                <w:szCs w:val="24"/>
                <w:lang w:val="en-US"/>
              </w:rPr>
            </w:pPr>
            <w:r>
              <w:rPr>
                <w:szCs w:val="24"/>
              </w:rPr>
              <w:t>The EU is developing a promising value chain for nuclear fusion, driven by significant investment and international collaboration</w:t>
            </w:r>
            <w:r>
              <w:rPr>
                <w:rStyle w:val="Odkaznapoznmkupodiarou"/>
                <w:szCs w:val="24"/>
              </w:rPr>
              <w:footnoteReference w:id="10"/>
            </w:r>
            <w:r>
              <w:rPr>
                <w:szCs w:val="24"/>
              </w:rPr>
              <w:t xml:space="preserve">, primarily through initiatives such as the ITER project, related joint R&amp;D programs under Euratom, </w:t>
            </w:r>
            <w:proofErr w:type="spellStart"/>
            <w:r>
              <w:rPr>
                <w:szCs w:val="24"/>
              </w:rPr>
              <w:t>EUROfusion</w:t>
            </w:r>
            <w:proofErr w:type="spellEnd"/>
            <w:r>
              <w:rPr>
                <w:szCs w:val="24"/>
              </w:rPr>
              <w:t xml:space="preserve"> and the European joint undertaking Fusion for Energy (F4E). From its establishment in 2008 to </w:t>
            </w:r>
            <w:r>
              <w:rPr>
                <w:szCs w:val="24"/>
              </w:rPr>
              <w:lastRenderedPageBreak/>
              <w:t xml:space="preserve">the end of 2023, F4E has awarded operational contracts for ITER procurements and grants for the related RDI to European industries and research entities for a total value of 7,4 B€.  These efforts are laying the foundation for a robust value chain that spans research, development, manufacturing, support services and higher education. European companies are already manufacturing critical and special components and </w:t>
            </w:r>
            <w:r>
              <w:rPr>
                <w:szCs w:val="24"/>
                <w:lang w:val="en-US"/>
              </w:rPr>
              <w:t>are a primary source for the supply of software and specialist engineering</w:t>
            </w:r>
            <w:r>
              <w:rPr>
                <w:rStyle w:val="Odkaznapoznmkupodiarou"/>
                <w:szCs w:val="24"/>
                <w:lang w:val="en-US"/>
              </w:rPr>
              <w:footnoteReference w:id="11"/>
            </w:r>
            <w:r>
              <w:rPr>
                <w:szCs w:val="24"/>
                <w:lang w:val="en-US"/>
              </w:rPr>
              <w:t xml:space="preserve">. </w:t>
            </w:r>
          </w:p>
          <w:p w14:paraId="4FF9A89E" w14:textId="77777777" w:rsidR="00586CB3" w:rsidRDefault="00410C93">
            <w:pPr>
              <w:spacing w:after="60"/>
              <w:rPr>
                <w:szCs w:val="24"/>
                <w:lang w:val="en-US"/>
              </w:rPr>
            </w:pPr>
            <w:r>
              <w:rPr>
                <w:szCs w:val="24"/>
                <w:lang w:val="en-US"/>
              </w:rPr>
              <w:t>Although the EU value chain for fusion is advancing, significant gaps and challenges remain, particularly in scaling up manufacturing capacity, securing consistent funding, and developing a skilled workforce.</w:t>
            </w:r>
            <w:r>
              <w:rPr>
                <w:szCs w:val="24"/>
              </w:rPr>
              <w:t xml:space="preserve"> </w:t>
            </w:r>
            <w:r>
              <w:rPr>
                <w:szCs w:val="24"/>
                <w:lang w:val="en-US"/>
              </w:rPr>
              <w:t xml:space="preserve">However, </w:t>
            </w:r>
            <w:r>
              <w:rPr>
                <w:lang w:val="en-US"/>
              </w:rPr>
              <w:t>with strong political and financial commitment in supporting a supply chain</w:t>
            </w:r>
            <w:r>
              <w:rPr>
                <w:szCs w:val="24"/>
                <w:lang w:val="en-US"/>
              </w:rPr>
              <w:t>, the EU industry could maximize the opportunity derived from fusion, estimated up to €7 billion annually</w:t>
            </w:r>
            <w:r>
              <w:rPr>
                <w:rStyle w:val="Odkaznapoznmkupodiarou"/>
                <w:szCs w:val="24"/>
                <w:lang w:val="en-US"/>
              </w:rPr>
              <w:footnoteReference w:id="12"/>
            </w:r>
            <w:r>
              <w:rPr>
                <w:szCs w:val="24"/>
                <w:lang w:val="en-US"/>
              </w:rPr>
              <w:t>. The EU is well-positioned to become a future leader in the global fusion energy market with the opportunity to sustain competition from international programs and private start-ups.</w:t>
            </w:r>
          </w:p>
          <w:p w14:paraId="4FF9A89F" w14:textId="77777777" w:rsidR="00586CB3" w:rsidRDefault="00410C93">
            <w:pPr>
              <w:spacing w:after="60"/>
              <w:rPr>
                <w:szCs w:val="24"/>
                <w:lang w:val="en-US"/>
              </w:rPr>
            </w:pPr>
            <w:r>
              <w:rPr>
                <w:szCs w:val="24"/>
                <w:lang w:val="en-US"/>
              </w:rPr>
              <w:t>Nevertheless, this leadership is challenged by strong competition from well-funded international programs and private start-ups, which may displace the EU nascent value chain in this field.</w:t>
            </w:r>
          </w:p>
          <w:p w14:paraId="4FF9A8A0" w14:textId="77777777" w:rsidR="00586CB3" w:rsidRDefault="00410C93">
            <w:pPr>
              <w:pStyle w:val="Nadpis2"/>
              <w:tabs>
                <w:tab w:val="clear" w:pos="1077"/>
              </w:tabs>
              <w:spacing w:before="240" w:after="60"/>
              <w:ind w:left="306" w:hanging="204"/>
            </w:pPr>
            <w:r>
              <w:t xml:space="preserve">Is there a pipeline of private projects in the area that needs de-risking/ financing? </w:t>
            </w:r>
          </w:p>
          <w:p w14:paraId="4FF9A8A1" w14:textId="77777777" w:rsidR="00586CB3" w:rsidRDefault="00410C93">
            <w:pPr>
              <w:spacing w:after="60"/>
              <w:rPr>
                <w:color w:val="000000" w:themeColor="text1"/>
                <w:szCs w:val="24"/>
                <w:lang w:val="en-US"/>
              </w:rPr>
            </w:pPr>
            <w:r>
              <w:rPr>
                <w:color w:val="000000" w:themeColor="text1"/>
                <w:szCs w:val="24"/>
                <w:lang w:val="en-US"/>
              </w:rPr>
              <w:t xml:space="preserve">Upon a preliminary examination of research and innovation projects funded through programs like </w:t>
            </w:r>
            <w:r>
              <w:rPr>
                <w:color w:val="000000" w:themeColor="text1"/>
                <w:szCs w:val="24"/>
              </w:rPr>
              <w:t>EURATOM</w:t>
            </w:r>
            <w:r>
              <w:rPr>
                <w:rStyle w:val="Odkaznapoznmkupodiarou"/>
                <w:color w:val="000000" w:themeColor="text1"/>
                <w:szCs w:val="24"/>
              </w:rPr>
              <w:footnoteReference w:id="13"/>
            </w:r>
            <w:r>
              <w:rPr>
                <w:color w:val="000000" w:themeColor="text1"/>
                <w:szCs w:val="24"/>
                <w:lang w:val="en-US"/>
              </w:rPr>
              <w:t xml:space="preserve">, indicate a scarcity of European private projects in nuclear fusion, </w:t>
            </w:r>
            <w:r>
              <w:rPr>
                <w:color w:val="000000" w:themeColor="text1"/>
                <w:szCs w:val="24"/>
              </w:rPr>
              <w:t xml:space="preserve">due to the high costs and technological challenges associated with fusion energy. </w:t>
            </w:r>
            <w:r>
              <w:rPr>
                <w:color w:val="000000" w:themeColor="text1"/>
                <w:szCs w:val="24"/>
                <w:lang w:val="en-US"/>
              </w:rPr>
              <w:t xml:space="preserve">Further analysis is required to effectively benchmark these industrial projects. </w:t>
            </w:r>
          </w:p>
          <w:p w14:paraId="4FF9A8A2" w14:textId="77777777" w:rsidR="00586CB3" w:rsidRDefault="00410C93">
            <w:pPr>
              <w:spacing w:after="60"/>
              <w:rPr>
                <w:color w:val="000000" w:themeColor="text1"/>
                <w:szCs w:val="24"/>
                <w:lang w:val="en-US"/>
              </w:rPr>
            </w:pPr>
            <w:hyperlink r:id="rId15" w:history="1">
              <w:r>
                <w:rPr>
                  <w:color w:val="000000" w:themeColor="text1"/>
                  <w:szCs w:val="24"/>
                  <w:lang w:val="en-US"/>
                </w:rPr>
                <w:t>Key areas for the development of nuclear fusion applications include</w:t>
              </w:r>
              <w:r>
                <w:rPr>
                  <w:rStyle w:val="Odkaznapoznmkupodiarou"/>
                  <w:color w:val="000000" w:themeColor="text1"/>
                  <w:szCs w:val="24"/>
                  <w:lang w:val="en-US"/>
                </w:rPr>
                <w:footnoteReference w:id="14"/>
              </w:r>
              <w:r>
                <w:rPr>
                  <w:color w:val="000000" w:themeColor="text1"/>
                  <w:szCs w:val="24"/>
                  <w:lang w:val="en-US"/>
                </w:rPr>
                <w:t>:</w:t>
              </w:r>
            </w:hyperlink>
            <w:r>
              <w:rPr>
                <w:color w:val="000000" w:themeColor="text1"/>
                <w:szCs w:val="24"/>
                <w:lang w:val="en-US"/>
              </w:rPr>
              <w:t xml:space="preserve"> </w:t>
            </w:r>
          </w:p>
          <w:p w14:paraId="4FF9A8A3" w14:textId="77777777" w:rsidR="00586CB3" w:rsidRDefault="00410C93">
            <w:pPr>
              <w:pStyle w:val="Odsekzoznamu"/>
              <w:numPr>
                <w:ilvl w:val="0"/>
                <w:numId w:val="25"/>
              </w:numPr>
              <w:spacing w:after="60"/>
              <w:ind w:left="447"/>
              <w:contextualSpacing w:val="0"/>
              <w:rPr>
                <w:color w:val="000000" w:themeColor="text1"/>
                <w:szCs w:val="24"/>
                <w:lang w:val="en-US"/>
              </w:rPr>
            </w:pPr>
            <w:r>
              <w:rPr>
                <w:color w:val="000000" w:themeColor="text1"/>
                <w:szCs w:val="24"/>
                <w:lang w:val="en-US"/>
              </w:rPr>
              <w:t>Plasma Physics and Confinement: focusing on studies on plasma properties, confinement, stability and dynamics; the qualification of appropriated approaches to magnetic and inertial confinement techniques is needed, with encouragement of state-of-the-art diagnostics and simulation for advanced control and prediction. This includes, also:</w:t>
            </w:r>
          </w:p>
          <w:p w14:paraId="4FF9A8A4" w14:textId="77777777" w:rsidR="00586CB3" w:rsidRDefault="00410C93">
            <w:pPr>
              <w:pStyle w:val="Odsekzoznamu"/>
              <w:numPr>
                <w:ilvl w:val="1"/>
                <w:numId w:val="31"/>
              </w:numPr>
              <w:spacing w:after="60"/>
              <w:contextualSpacing w:val="0"/>
              <w:rPr>
                <w:color w:val="000000" w:themeColor="text1"/>
                <w:szCs w:val="24"/>
                <w:lang w:val="en-US"/>
              </w:rPr>
            </w:pPr>
            <w:r>
              <w:rPr>
                <w:lang w:val="en-US"/>
              </w:rPr>
              <w:t>advanced HTS technologies</w:t>
            </w:r>
            <w:r>
              <w:rPr>
                <w:color w:val="000000" w:themeColor="text1"/>
                <w:szCs w:val="24"/>
                <w:lang w:val="en-US"/>
              </w:rPr>
              <w:t xml:space="preserve"> to e</w:t>
            </w:r>
            <w:r>
              <w:rPr>
                <w:lang w:val="en-US"/>
              </w:rPr>
              <w:t>nhance the efficiency and performance of magnetic confinement.</w:t>
            </w:r>
          </w:p>
          <w:p w14:paraId="4FF9A8A5" w14:textId="77777777" w:rsidR="00586CB3" w:rsidRDefault="00410C93">
            <w:pPr>
              <w:pStyle w:val="Odsekzoznamu"/>
              <w:numPr>
                <w:ilvl w:val="1"/>
                <w:numId w:val="31"/>
              </w:numPr>
              <w:spacing w:after="60"/>
              <w:contextualSpacing w:val="0"/>
              <w:rPr>
                <w:color w:val="000000" w:themeColor="text1"/>
                <w:lang w:val="en-US"/>
              </w:rPr>
            </w:pPr>
            <w:r>
              <w:rPr>
                <w:lang w:val="en-US"/>
              </w:rPr>
              <w:t>advanced plasma heating systems for effective and controlled fusion reactions.</w:t>
            </w:r>
          </w:p>
          <w:p w14:paraId="4FF9A8A6" w14:textId="77777777" w:rsidR="00586CB3" w:rsidRDefault="00410C93">
            <w:pPr>
              <w:pStyle w:val="Odsekzoznamu"/>
              <w:numPr>
                <w:ilvl w:val="1"/>
                <w:numId w:val="31"/>
              </w:numPr>
              <w:spacing w:after="60"/>
              <w:contextualSpacing w:val="0"/>
              <w:rPr>
                <w:lang w:val="en-US"/>
              </w:rPr>
            </w:pPr>
            <w:r>
              <w:rPr>
                <w:lang w:val="en-US"/>
              </w:rPr>
              <w:t>advanced control systems based on AI.</w:t>
            </w:r>
          </w:p>
          <w:p w14:paraId="4FF9A8A7" w14:textId="77777777" w:rsidR="00586CB3" w:rsidRDefault="00410C93">
            <w:pPr>
              <w:pStyle w:val="Odsekzoznamu"/>
              <w:numPr>
                <w:ilvl w:val="0"/>
                <w:numId w:val="25"/>
              </w:numPr>
              <w:spacing w:after="60"/>
              <w:ind w:left="447"/>
              <w:contextualSpacing w:val="0"/>
              <w:rPr>
                <w:color w:val="000000" w:themeColor="text1"/>
                <w:szCs w:val="24"/>
                <w:lang w:val="en-US"/>
              </w:rPr>
            </w:pPr>
            <w:r>
              <w:rPr>
                <w:color w:val="000000" w:themeColor="text1"/>
                <w:szCs w:val="24"/>
                <w:lang w:val="en-US"/>
              </w:rPr>
              <w:t xml:space="preserve">Materials and components: </w:t>
            </w:r>
          </w:p>
          <w:p w14:paraId="4FF9A8A8" w14:textId="77777777" w:rsidR="00586CB3" w:rsidRDefault="00410C93">
            <w:pPr>
              <w:pStyle w:val="Odsekzoznamu"/>
              <w:numPr>
                <w:ilvl w:val="0"/>
                <w:numId w:val="31"/>
              </w:numPr>
              <w:spacing w:after="60"/>
              <w:contextualSpacing w:val="0"/>
              <w:rPr>
                <w:color w:val="000000" w:themeColor="text1"/>
                <w:szCs w:val="24"/>
                <w:lang w:val="en-US"/>
              </w:rPr>
            </w:pPr>
            <w:r>
              <w:rPr>
                <w:color w:val="000000" w:themeColor="text1"/>
                <w:szCs w:val="24"/>
                <w:lang w:val="en-US"/>
              </w:rPr>
              <w:t xml:space="preserve">produce advanced materials and components </w:t>
            </w:r>
            <w:r>
              <w:rPr>
                <w:sz w:val="23"/>
                <w:szCs w:val="23"/>
                <w:lang w:val="en-US"/>
              </w:rPr>
              <w:t>within design codes and standards</w:t>
            </w:r>
            <w:r>
              <w:rPr>
                <w:color w:val="000000" w:themeColor="text1"/>
                <w:szCs w:val="24"/>
                <w:lang w:val="en-US"/>
              </w:rPr>
              <w:t xml:space="preserve">, including high-performance materials to withstand extreme conditions, (e.g. high-temperature superconducting magnets for efficient and powerful magnetic fields, divertor for power exhaust, first wall of plasma facing components) </w:t>
            </w:r>
            <w:r>
              <w:rPr>
                <w:sz w:val="23"/>
                <w:szCs w:val="23"/>
                <w:lang w:val="en-US"/>
              </w:rPr>
              <w:t>as well as components for peculiar plant operation able to operate inside high magnetic fields</w:t>
            </w:r>
            <w:r>
              <w:rPr>
                <w:color w:val="000000" w:themeColor="text1"/>
                <w:szCs w:val="24"/>
                <w:lang w:val="en-US"/>
              </w:rPr>
              <w:t xml:space="preserve">. </w:t>
            </w:r>
          </w:p>
          <w:p w14:paraId="4FF9A8A9" w14:textId="77777777" w:rsidR="00586CB3" w:rsidRDefault="00410C93">
            <w:pPr>
              <w:pStyle w:val="Odsekzoznamu"/>
              <w:numPr>
                <w:ilvl w:val="0"/>
                <w:numId w:val="31"/>
              </w:numPr>
              <w:spacing w:after="60"/>
              <w:contextualSpacing w:val="0"/>
              <w:rPr>
                <w:color w:val="000000" w:themeColor="text1"/>
                <w:szCs w:val="24"/>
                <w:lang w:val="en-US"/>
              </w:rPr>
            </w:pPr>
            <w:r>
              <w:rPr>
                <w:color w:val="000000" w:themeColor="text1"/>
                <w:szCs w:val="24"/>
                <w:lang w:val="en-US"/>
              </w:rPr>
              <w:t>Testing facilities for the qualification of fusion materials and components.</w:t>
            </w:r>
          </w:p>
          <w:p w14:paraId="4FF9A8AA" w14:textId="77777777" w:rsidR="00586CB3" w:rsidRDefault="00410C93">
            <w:pPr>
              <w:pStyle w:val="Odsekzoznamu"/>
              <w:numPr>
                <w:ilvl w:val="0"/>
                <w:numId w:val="25"/>
              </w:numPr>
              <w:spacing w:after="60"/>
              <w:ind w:left="447"/>
              <w:contextualSpacing w:val="0"/>
              <w:rPr>
                <w:color w:val="000000" w:themeColor="text1"/>
                <w:szCs w:val="24"/>
                <w:lang w:val="en-US"/>
              </w:rPr>
            </w:pPr>
            <w:r>
              <w:rPr>
                <w:color w:val="000000" w:themeColor="text1"/>
                <w:szCs w:val="24"/>
                <w:lang w:val="en-US"/>
              </w:rPr>
              <w:t>Energy conversion and reactor design: designing efficient systems to convert the intense heat generated during fusion into electricity and developing systems for remote maintenance, advanced cooling, and overall reactor integration.</w:t>
            </w:r>
          </w:p>
          <w:p w14:paraId="4FF9A8AB" w14:textId="77777777" w:rsidR="00586CB3" w:rsidRDefault="00410C93">
            <w:pPr>
              <w:pStyle w:val="Odsekzoznamu"/>
              <w:numPr>
                <w:ilvl w:val="0"/>
                <w:numId w:val="25"/>
              </w:numPr>
              <w:spacing w:after="60"/>
              <w:ind w:left="447"/>
              <w:contextualSpacing w:val="0"/>
              <w:rPr>
                <w:color w:val="000000" w:themeColor="text1"/>
                <w:szCs w:val="24"/>
                <w:lang w:val="en-US"/>
              </w:rPr>
            </w:pPr>
            <w:r>
              <w:rPr>
                <w:color w:val="000000" w:themeColor="text1"/>
                <w:szCs w:val="24"/>
                <w:lang w:val="en-US"/>
              </w:rPr>
              <w:lastRenderedPageBreak/>
              <w:t>Fuel cycle and resource management: improve a cost-competitive tritium production, exploring alternative fuels for fusion and developing a secure and sustainable supply chain for fusion fuel critical resources. This includes tritium cycle management and lithium technologies for breeding blanket. This includes also the systems to transfer the gas exhausted from divertor to gas-processing system (i.e. pumping systems).</w:t>
            </w:r>
          </w:p>
          <w:p w14:paraId="4FF9A8AC" w14:textId="77777777" w:rsidR="00586CB3" w:rsidRDefault="00410C93">
            <w:pPr>
              <w:pStyle w:val="Odsekzoznamu"/>
              <w:numPr>
                <w:ilvl w:val="0"/>
                <w:numId w:val="25"/>
              </w:numPr>
              <w:spacing w:after="60"/>
              <w:ind w:left="447"/>
              <w:contextualSpacing w:val="0"/>
              <w:rPr>
                <w:color w:val="000000" w:themeColor="text1"/>
                <w:szCs w:val="24"/>
                <w:lang w:val="en-US"/>
              </w:rPr>
            </w:pPr>
            <w:r>
              <w:rPr>
                <w:color w:val="000000" w:themeColor="text1"/>
                <w:szCs w:val="24"/>
                <w:lang w:val="en-US"/>
              </w:rPr>
              <w:t>Management of power and energy transfer from/to the grid to minimize the reactive power exchange and development of the related high power electronic systems. This also includes power system for heating systems and for active control systems.</w:t>
            </w:r>
          </w:p>
          <w:p w14:paraId="4FF9A8AD" w14:textId="77777777" w:rsidR="00586CB3" w:rsidRDefault="00410C93">
            <w:pPr>
              <w:pStyle w:val="Odsekzoznamu"/>
              <w:numPr>
                <w:ilvl w:val="0"/>
                <w:numId w:val="25"/>
              </w:numPr>
              <w:spacing w:after="60"/>
              <w:ind w:left="447"/>
              <w:contextualSpacing w:val="0"/>
              <w:rPr>
                <w:lang w:val="en-US"/>
              </w:rPr>
            </w:pPr>
            <w:r>
              <w:rPr>
                <w:color w:val="000000" w:themeColor="text1"/>
                <w:szCs w:val="24"/>
                <w:lang w:val="en-US"/>
              </w:rPr>
              <w:t>I</w:t>
            </w:r>
            <w:proofErr w:type="spellStart"/>
            <w:r>
              <w:rPr>
                <w:color w:val="000000" w:themeColor="text1"/>
                <w:szCs w:val="24"/>
              </w:rPr>
              <w:t>nnovation</w:t>
            </w:r>
            <w:proofErr w:type="spellEnd"/>
            <w:r>
              <w:rPr>
                <w:color w:val="000000" w:themeColor="text1"/>
                <w:szCs w:val="24"/>
              </w:rPr>
              <w:t xml:space="preserve"> in supporting technologies: promoting the applications of AI, advanced simulations, digital twins and big data for reactor optimization, integrating high-speed communication systems for real-time management, and developing advanced manufacturing, robotics, and remote-handling systems for reactor components.</w:t>
            </w:r>
          </w:p>
          <w:p w14:paraId="4FF9A8AE" w14:textId="77777777" w:rsidR="00586CB3" w:rsidRDefault="00410C93">
            <w:pPr>
              <w:pStyle w:val="Nadpis2"/>
              <w:tabs>
                <w:tab w:val="clear" w:pos="1077"/>
              </w:tabs>
              <w:spacing w:before="240" w:after="60"/>
              <w:ind w:left="306" w:hanging="204"/>
            </w:pPr>
            <w:r>
              <w:t xml:space="preserve">On which basis can individual projects be integrated in a common structure/roadmap or programme aiming at a coherent, systemic approach?  </w:t>
            </w:r>
          </w:p>
          <w:p w14:paraId="4FF9A8AF" w14:textId="77777777" w:rsidR="00586CB3" w:rsidRDefault="00410C93">
            <w:pPr>
              <w:pStyle w:val="Text2"/>
              <w:spacing w:after="60"/>
              <w:ind w:left="0"/>
            </w:pPr>
            <w:r>
              <w:t>The following EU-specific principles and frameworks could underpin each separate project so to reach a coherent approach in relation to Europe's strategic priorities, where:</w:t>
            </w:r>
          </w:p>
          <w:p w14:paraId="4FF9A8B0" w14:textId="77777777" w:rsidR="00586CB3" w:rsidRDefault="00410C93">
            <w:pPr>
              <w:pStyle w:val="Text2"/>
              <w:spacing w:before="240" w:after="60"/>
              <w:ind w:left="310"/>
            </w:pPr>
            <w:r>
              <w:t>i.</w:t>
            </w:r>
            <w:r>
              <w:tab/>
              <w:t>Implementation of European Strategic Objectives by supporting the strategic vision for Europe to become the first climate-neutral continent by 2050 through complementing related goals for both 2030 and 2040</w:t>
            </w:r>
            <w:r>
              <w:rPr>
                <w:rStyle w:val="Odkaznapoznmkupodiarou"/>
              </w:rPr>
              <w:footnoteReference w:id="15"/>
            </w:r>
            <w:r>
              <w:t>.</w:t>
            </w:r>
          </w:p>
          <w:p w14:paraId="4FF9A8B1" w14:textId="77777777" w:rsidR="00586CB3" w:rsidRDefault="00410C93">
            <w:pPr>
              <w:pStyle w:val="Text2"/>
              <w:spacing w:before="240" w:after="60"/>
              <w:ind w:left="310"/>
            </w:pPr>
            <w:r>
              <w:t>ii.</w:t>
            </w:r>
            <w:r>
              <w:tab/>
              <w:t xml:space="preserve">European Collaborative Frameworks: </w:t>
            </w:r>
          </w:p>
          <w:p w14:paraId="4FF9A8B2" w14:textId="77777777" w:rsidR="00586CB3" w:rsidRDefault="00410C93">
            <w:pPr>
              <w:pStyle w:val="Text2"/>
              <w:numPr>
                <w:ilvl w:val="0"/>
                <w:numId w:val="32"/>
              </w:numPr>
              <w:spacing w:after="60"/>
              <w:ind w:left="870"/>
            </w:pPr>
            <w:r>
              <w:t xml:space="preserve">Public-Private Partnerships (PPPs): foster partnerships between national labs, European research consortia (e.g., </w:t>
            </w:r>
            <w:proofErr w:type="spellStart"/>
            <w:r>
              <w:t>EUROfusion</w:t>
            </w:r>
            <w:proofErr w:type="spellEnd"/>
            <w:r>
              <w:t>), and private entities to ensure collaboration across the public and private sectors especially where private companies may be hesitant to invest alone due to high costs and risks. Implementing the outcomes of the EU report on: “Analysis on a strategic public-private partnership approach to foster innovation in fusion energy”.</w:t>
            </w:r>
          </w:p>
          <w:p w14:paraId="4FF9A8B3" w14:textId="77777777" w:rsidR="00586CB3" w:rsidRDefault="00410C93">
            <w:pPr>
              <w:pStyle w:val="Text2"/>
              <w:numPr>
                <w:ilvl w:val="0"/>
                <w:numId w:val="32"/>
              </w:numPr>
              <w:spacing w:after="60"/>
              <w:ind w:left="870"/>
            </w:pPr>
            <w:r>
              <w:t>Intra-European Cooperation: encourage cooperation between MS through research and training programmes and national initiatives, while involving key stakeholders such as Fusion for Energy (F4E) and the European Commission (Fusion Expert Group, High-Level Roundtable on Fusion).</w:t>
            </w:r>
          </w:p>
          <w:p w14:paraId="4FF9A8B4" w14:textId="77777777" w:rsidR="00586CB3" w:rsidRDefault="00410C93">
            <w:pPr>
              <w:pStyle w:val="Text2"/>
              <w:numPr>
                <w:ilvl w:val="0"/>
                <w:numId w:val="32"/>
              </w:numPr>
              <w:spacing w:after="60"/>
              <w:ind w:left="870"/>
            </w:pPr>
            <w:r>
              <w:t>Joint undertakings: leverage the industrial know-how of Fusion for Energy (F4E)</w:t>
            </w:r>
          </w:p>
          <w:p w14:paraId="4FF9A8B5" w14:textId="77777777" w:rsidR="00586CB3" w:rsidRDefault="00410C93">
            <w:pPr>
              <w:pStyle w:val="Text2"/>
              <w:numPr>
                <w:ilvl w:val="0"/>
                <w:numId w:val="32"/>
              </w:numPr>
              <w:spacing w:after="60"/>
              <w:ind w:left="870"/>
            </w:pPr>
            <w:r>
              <w:t xml:space="preserve">Cross-Border Projects: emphasize projects that leverage Europe’s unique diversity of expertise and encourage partnerships between all the different stakeholders. </w:t>
            </w:r>
          </w:p>
          <w:p w14:paraId="4FF9A8B6" w14:textId="77777777" w:rsidR="00586CB3" w:rsidRDefault="00410C93">
            <w:pPr>
              <w:pStyle w:val="Text2"/>
              <w:spacing w:after="60"/>
              <w:ind w:left="309"/>
            </w:pPr>
            <w:r>
              <w:t>iii.</w:t>
            </w:r>
            <w:r>
              <w:tab/>
              <w:t>Policy and Regulatory Support: define pathways toward a harmonized European regulatory framework, built on lessons learned from existing fusion facilities (e.g., JET, ITER) and on the ongoing work by the IAEA and other international partners.</w:t>
            </w:r>
          </w:p>
          <w:p w14:paraId="4FF9A8B7" w14:textId="77777777" w:rsidR="00586CB3" w:rsidRDefault="00410C93">
            <w:pPr>
              <w:pStyle w:val="Text2"/>
              <w:spacing w:before="240" w:after="60"/>
              <w:ind w:left="306"/>
            </w:pPr>
            <w:r>
              <w:t>iv.</w:t>
            </w:r>
            <w:r>
              <w:tab/>
              <w:t>Knowledge/Technology Transfer: universities, research institutions and industry need to collaboratively engage in R&amp;D work to ensure smooth knowledge transfer along technical, contractual, and project management dimensions. However, a potential structure could have the following focus areas:</w:t>
            </w:r>
          </w:p>
          <w:p w14:paraId="4FF9A8B8" w14:textId="77777777" w:rsidR="00586CB3" w:rsidRDefault="00410C93">
            <w:pPr>
              <w:pStyle w:val="Text2"/>
              <w:numPr>
                <w:ilvl w:val="0"/>
                <w:numId w:val="29"/>
              </w:numPr>
              <w:spacing w:after="60"/>
              <w:ind w:left="870"/>
            </w:pPr>
            <w:r>
              <w:lastRenderedPageBreak/>
              <w:t>Developing scalable, modular fusion reactor designs that can handle high particle and heat fluxes, plasma confinement, and power extraction and transfer to fuel cycle system. This includes the standardization of the manufacturing cycles and qualification of the most relevant components and sub-systems.</w:t>
            </w:r>
          </w:p>
          <w:p w14:paraId="4FF9A8B9" w14:textId="77777777" w:rsidR="00586CB3" w:rsidRDefault="00410C93">
            <w:pPr>
              <w:pStyle w:val="Text2"/>
              <w:numPr>
                <w:ilvl w:val="0"/>
                <w:numId w:val="29"/>
              </w:numPr>
              <w:spacing w:after="60"/>
              <w:ind w:left="870"/>
            </w:pPr>
            <w:r>
              <w:t>Collaborating on the creation of advanced materials capable of withstanding extreme conditions in fusion reactors, such as radiation and high temperatures.</w:t>
            </w:r>
          </w:p>
          <w:p w14:paraId="4FF9A8BA" w14:textId="77777777" w:rsidR="00586CB3" w:rsidRDefault="00410C93">
            <w:pPr>
              <w:pStyle w:val="Text2"/>
              <w:numPr>
                <w:ilvl w:val="0"/>
                <w:numId w:val="29"/>
              </w:numPr>
              <w:spacing w:after="60"/>
              <w:ind w:left="870"/>
            </w:pPr>
            <w:r>
              <w:t>Developing advanced superconducting cables and magnets to create the strong magnetic fields required to confine the plasma and maintain stable fusion reactions.</w:t>
            </w:r>
          </w:p>
          <w:p w14:paraId="4FF9A8BB" w14:textId="77777777" w:rsidR="00586CB3" w:rsidRDefault="00410C93">
            <w:pPr>
              <w:pStyle w:val="Text2"/>
              <w:numPr>
                <w:ilvl w:val="0"/>
                <w:numId w:val="29"/>
              </w:numPr>
              <w:spacing w:after="60"/>
              <w:ind w:left="870"/>
            </w:pPr>
            <w:r>
              <w:t>Ensuring the efficient production, handling, and recycling of fusion fuel (especially tritium), lithium enrichment facilities and designing systems to manage fuel cycles, waste, and byproducts generated during fusion processes (Action 10 SET Plan).</w:t>
            </w:r>
          </w:p>
          <w:p w14:paraId="4FF9A8BC" w14:textId="77777777" w:rsidR="00586CB3" w:rsidRDefault="00410C93">
            <w:pPr>
              <w:pStyle w:val="Text2"/>
              <w:numPr>
                <w:ilvl w:val="0"/>
                <w:numId w:val="29"/>
              </w:numPr>
              <w:spacing w:after="60"/>
              <w:ind w:left="870"/>
            </w:pPr>
            <w:r>
              <w:t>Test of plasma physics to improve the understanding of plasma behaviour, confinement, and stability within fusion reactors.</w:t>
            </w:r>
          </w:p>
          <w:p w14:paraId="4FF9A8BD" w14:textId="77777777" w:rsidR="00586CB3" w:rsidRDefault="00410C93">
            <w:pPr>
              <w:pStyle w:val="Text2"/>
              <w:numPr>
                <w:ilvl w:val="0"/>
                <w:numId w:val="29"/>
              </w:numPr>
              <w:spacing w:after="60"/>
              <w:ind w:left="870"/>
            </w:pPr>
            <w:r>
              <w:t>Developing power electronic systems for management of energy and power and for real time control of plasma confinement and equilibrium.</w:t>
            </w:r>
          </w:p>
          <w:p w14:paraId="4FF9A8BE" w14:textId="77777777" w:rsidR="00586CB3" w:rsidRDefault="00410C93">
            <w:pPr>
              <w:pStyle w:val="Text2"/>
              <w:numPr>
                <w:ilvl w:val="0"/>
                <w:numId w:val="29"/>
              </w:numPr>
              <w:spacing w:after="60"/>
              <w:ind w:left="870"/>
            </w:pPr>
            <w:r>
              <w:t>Developing systems for the production of targets and feeding systems for inertial confinement system.</w:t>
            </w:r>
          </w:p>
          <w:p w14:paraId="4FF9A8BF" w14:textId="77777777" w:rsidR="00586CB3" w:rsidRDefault="00410C93">
            <w:pPr>
              <w:pStyle w:val="Text2"/>
              <w:numPr>
                <w:ilvl w:val="0"/>
                <w:numId w:val="29"/>
              </w:numPr>
              <w:spacing w:after="60"/>
              <w:ind w:left="870"/>
            </w:pPr>
            <w:r>
              <w:t>Ensuring reliable and high efficiency heating systems for magnetically confined plasmas.</w:t>
            </w:r>
          </w:p>
          <w:p w14:paraId="4FF9A8C0" w14:textId="77777777" w:rsidR="00586CB3" w:rsidRDefault="00410C93">
            <w:pPr>
              <w:pStyle w:val="Text2"/>
              <w:spacing w:before="240" w:after="60"/>
              <w:ind w:left="309"/>
            </w:pPr>
            <w:r>
              <w:t>v.</w:t>
            </w:r>
            <w:r>
              <w:tab/>
              <w:t>Infrastructure and Innovation Ecosystem: facilitate access to international (i.e. ITER) and Europe’s leading research facilities, such as the DTT and NBTF facilities in Italy, IFMIF-DONES in Spain, and MYRRHA in Belgium. Foster an innovation-friendly environment by supporting start-ups and SMEs through funding mechanisms (in synergy with the European Innovation Council and the European Institute of Innovation and Technology) that encourage cross-border collaboration and knowledge sharing. Additionally, strengthen and scale up Europe’s industrial supply chain for fusion, transitioning from project-specific manufacturing to large-scale production to meet future demands effectively.</w:t>
            </w:r>
          </w:p>
          <w:p w14:paraId="4FF9A8C1" w14:textId="77777777" w:rsidR="00586CB3" w:rsidRDefault="00410C93">
            <w:pPr>
              <w:pStyle w:val="Text2"/>
              <w:spacing w:before="240" w:after="60"/>
              <w:ind w:left="309"/>
            </w:pPr>
            <w:r>
              <w:t>vi.</w:t>
            </w:r>
            <w:r>
              <w:tab/>
              <w:t xml:space="preserve">Common Digital Platform: experts must collaborate from concept to end-of-life, fostering a fully inclusive European nuclear ecosystem. The vision includes creating a unique common digital space and platforms for real-scale deposition technologies, online quality control, offline characterization tools, and training programs. The federated, harmonized, and interoperable data repositories will aim to establish a trusted data space utilizing Big Data and AI to accelerate analysis, identify suitable solutions and ensure coherence and synergy between projects. Synergies could be developed with the </w:t>
            </w:r>
            <w:proofErr w:type="spellStart"/>
            <w:r>
              <w:t>EuroHPC</w:t>
            </w:r>
            <w:proofErr w:type="spellEnd"/>
            <w:r>
              <w:t>-JU</w:t>
            </w:r>
            <w:r>
              <w:rPr>
                <w:rStyle w:val="Odkaznapoznmkupodiarou"/>
              </w:rPr>
              <w:footnoteReference w:id="16"/>
            </w:r>
            <w:r>
              <w:t xml:space="preserve"> (European High-Performance Computing Joint Undertaking) or other relevant EU HPC infrastructures, e.g. for numerical simulations of plasma physics, </w:t>
            </w:r>
            <w:proofErr w:type="spellStart"/>
            <w:r>
              <w:t>multiphysics</w:t>
            </w:r>
            <w:proofErr w:type="spellEnd"/>
            <w:r>
              <w:t xml:space="preserve"> (nuclear, </w:t>
            </w:r>
            <w:proofErr w:type="spellStart"/>
            <w:r>
              <w:t>thermofluid</w:t>
            </w:r>
            <w:proofErr w:type="spellEnd"/>
            <w:r>
              <w:t>-dynamic, structural and electro-magnetic) analysis of pivotal components, structural analysis of advanced materials, and for advancing nuclear fusion beyond the state of the art.</w:t>
            </w:r>
          </w:p>
          <w:p w14:paraId="4FF9A8C2" w14:textId="77777777" w:rsidR="00586CB3" w:rsidRDefault="00586CB3">
            <w:pPr>
              <w:pStyle w:val="Text2"/>
              <w:spacing w:after="60"/>
              <w:ind w:left="309"/>
            </w:pPr>
          </w:p>
          <w:p w14:paraId="4FF9A8C3" w14:textId="77777777" w:rsidR="00586CB3" w:rsidRDefault="00410C93">
            <w:pPr>
              <w:pStyle w:val="Nadpis2"/>
              <w:tabs>
                <w:tab w:val="clear" w:pos="1077"/>
              </w:tabs>
              <w:spacing w:after="60"/>
              <w:ind w:left="306" w:hanging="204"/>
            </w:pPr>
            <w:r>
              <w:lastRenderedPageBreak/>
              <w:t>How would the IPCEI help to leverage or trigger more private investments or financing from the market in the technology area concerned?</w:t>
            </w:r>
          </w:p>
          <w:p w14:paraId="4FF9A8C4" w14:textId="77777777" w:rsidR="00586CB3" w:rsidRDefault="00410C93">
            <w:pPr>
              <w:spacing w:after="60"/>
              <w:rPr>
                <w:sz w:val="23"/>
                <w:szCs w:val="23"/>
              </w:rPr>
            </w:pPr>
            <w:r>
              <w:rPr>
                <w:sz w:val="23"/>
                <w:szCs w:val="23"/>
              </w:rPr>
              <w:t xml:space="preserve">The IPCEI might strategically channel State aid to stimulate </w:t>
            </w:r>
            <w:r>
              <w:t xml:space="preserve">RDI </w:t>
            </w:r>
            <w:r>
              <w:rPr>
                <w:sz w:val="23"/>
                <w:szCs w:val="23"/>
              </w:rPr>
              <w:t xml:space="preserve">efforts, accelerate the development of qualification facilities, supporting European companies in the development and industrialization of cutting-edge enabling technologies for fusion energy. By enhancing collaborative efforts and knowledge sharing, the IPCEI could unlock synergies across different applications and create new opportunities for its participants and provide strong positive signalling for the European industry, the investors, the private sector in general as well as the scientific community. </w:t>
            </w:r>
          </w:p>
          <w:p w14:paraId="4FF9A8C5" w14:textId="77777777" w:rsidR="00586CB3" w:rsidRDefault="00410C93">
            <w:pPr>
              <w:spacing w:after="60"/>
              <w:rPr>
                <w:sz w:val="23"/>
                <w:szCs w:val="23"/>
              </w:rPr>
            </w:pPr>
            <w:r>
              <w:rPr>
                <w:sz w:val="23"/>
                <w:szCs w:val="23"/>
              </w:rPr>
              <w:t>The IPCEI’s funds, in particular, may:</w:t>
            </w:r>
          </w:p>
          <w:p w14:paraId="4FF9A8C6" w14:textId="77777777" w:rsidR="00586CB3" w:rsidRDefault="00410C93">
            <w:pPr>
              <w:pStyle w:val="Odsekzoznamu"/>
              <w:numPr>
                <w:ilvl w:val="0"/>
                <w:numId w:val="28"/>
              </w:numPr>
              <w:spacing w:after="60"/>
              <w:ind w:left="444"/>
              <w:contextualSpacing w:val="0"/>
              <w:rPr>
                <w:sz w:val="23"/>
                <w:szCs w:val="23"/>
              </w:rPr>
            </w:pPr>
            <w:r>
              <w:rPr>
                <w:sz w:val="23"/>
                <w:szCs w:val="23"/>
              </w:rPr>
              <w:t xml:space="preserve">Help reduce </w:t>
            </w:r>
            <w:r>
              <w:rPr>
                <w:i/>
                <w:iCs/>
                <w:sz w:val="23"/>
                <w:szCs w:val="23"/>
              </w:rPr>
              <w:t>negative externalities</w:t>
            </w:r>
            <w:r>
              <w:rPr>
                <w:sz w:val="23"/>
                <w:szCs w:val="23"/>
              </w:rPr>
              <w:t xml:space="preserve"> associated with current energy sources by supporting companies that invest in technologies and applications enabling nuclear fusion. </w:t>
            </w:r>
          </w:p>
          <w:p w14:paraId="4FF9A8C7" w14:textId="77777777" w:rsidR="00586CB3" w:rsidRDefault="00410C93">
            <w:pPr>
              <w:pStyle w:val="Odsekzoznamu"/>
              <w:numPr>
                <w:ilvl w:val="0"/>
                <w:numId w:val="28"/>
              </w:numPr>
              <w:spacing w:after="60"/>
              <w:ind w:left="444"/>
              <w:contextualSpacing w:val="0"/>
              <w:rPr>
                <w:sz w:val="23"/>
                <w:szCs w:val="23"/>
              </w:rPr>
            </w:pPr>
            <w:r>
              <w:rPr>
                <w:sz w:val="23"/>
                <w:szCs w:val="23"/>
              </w:rPr>
              <w:t xml:space="preserve">Facilitate the internalisation of </w:t>
            </w:r>
            <w:r>
              <w:rPr>
                <w:i/>
                <w:iCs/>
                <w:sz w:val="23"/>
                <w:szCs w:val="23"/>
              </w:rPr>
              <w:t>positive externalities</w:t>
            </w:r>
            <w:r>
              <w:rPr>
                <w:sz w:val="23"/>
                <w:szCs w:val="23"/>
              </w:rPr>
              <w:t xml:space="preserve"> associated with the development of nuclear fusion technologies, by incentivising companies to invest in projects that would benefit themselves and contextually other companies across various sectors. </w:t>
            </w:r>
          </w:p>
          <w:p w14:paraId="4FF9A8C8" w14:textId="77777777" w:rsidR="00586CB3" w:rsidRDefault="00410C93">
            <w:pPr>
              <w:pStyle w:val="Odsekzoznamu"/>
              <w:numPr>
                <w:ilvl w:val="0"/>
                <w:numId w:val="28"/>
              </w:numPr>
              <w:spacing w:after="60"/>
              <w:ind w:left="444"/>
              <w:contextualSpacing w:val="0"/>
            </w:pPr>
            <w:r>
              <w:rPr>
                <w:sz w:val="23"/>
                <w:szCs w:val="23"/>
              </w:rPr>
              <w:t xml:space="preserve">Effectively address </w:t>
            </w:r>
            <w:r>
              <w:rPr>
                <w:i/>
                <w:iCs/>
                <w:sz w:val="23"/>
                <w:szCs w:val="23"/>
              </w:rPr>
              <w:t>coordination problems</w:t>
            </w:r>
            <w:r>
              <w:rPr>
                <w:sz w:val="23"/>
                <w:szCs w:val="23"/>
              </w:rPr>
              <w:t xml:space="preserve"> by contributing to the creation of a common investment decision framework and promoting the definition of </w:t>
            </w:r>
            <w:r>
              <w:rPr>
                <w:bCs/>
                <w:sz w:val="23"/>
                <w:szCs w:val="23"/>
                <w:lang w:val="en-US"/>
              </w:rPr>
              <w:t>a harmonized European regulatory framework</w:t>
            </w:r>
            <w:r>
              <w:rPr>
                <w:sz w:val="23"/>
                <w:szCs w:val="23"/>
              </w:rPr>
              <w:t>, suited to the development of nuclear fusion energy.</w:t>
            </w:r>
          </w:p>
        </w:tc>
      </w:tr>
      <w:tr w:rsidR="00586CB3" w14:paraId="4FF9A8CB" w14:textId="77777777">
        <w:tc>
          <w:tcPr>
            <w:tcW w:w="8602" w:type="dxa"/>
            <w:tcBorders>
              <w:top w:val="single" w:sz="4" w:space="0" w:color="auto"/>
              <w:left w:val="nil"/>
              <w:bottom w:val="single" w:sz="4" w:space="0" w:color="auto"/>
              <w:right w:val="nil"/>
            </w:tcBorders>
          </w:tcPr>
          <w:p w14:paraId="4FF9A8CA" w14:textId="77777777" w:rsidR="00586CB3" w:rsidRDefault="00586CB3">
            <w:pPr>
              <w:spacing w:afterLines="60" w:after="144"/>
              <w:rPr>
                <w:i/>
                <w:iCs/>
              </w:rPr>
            </w:pPr>
          </w:p>
        </w:tc>
      </w:tr>
      <w:tr w:rsidR="00586CB3" w14:paraId="4FF9A8CD" w14:textId="77777777">
        <w:tc>
          <w:tcPr>
            <w:tcW w:w="8602"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4FF9A8CC" w14:textId="77777777" w:rsidR="00586CB3" w:rsidRDefault="00410C93">
            <w:pPr>
              <w:pStyle w:val="Nadpis1"/>
              <w:spacing w:afterLines="60" w:after="144"/>
            </w:pPr>
            <w:r>
              <w:t>IPCEI value-added</w:t>
            </w:r>
          </w:p>
        </w:tc>
      </w:tr>
      <w:tr w:rsidR="00586CB3" w14:paraId="4FF9A8DE" w14:textId="77777777">
        <w:tc>
          <w:tcPr>
            <w:tcW w:w="8602" w:type="dxa"/>
            <w:tcBorders>
              <w:top w:val="single" w:sz="4" w:space="0" w:color="auto"/>
              <w:bottom w:val="single" w:sz="4" w:space="0" w:color="auto"/>
            </w:tcBorders>
          </w:tcPr>
          <w:p w14:paraId="4FF9A8CE" w14:textId="77777777" w:rsidR="00586CB3" w:rsidRDefault="00410C93">
            <w:pPr>
              <w:spacing w:after="60"/>
              <w:rPr>
                <w:i/>
                <w:iCs/>
              </w:rPr>
            </w:pPr>
            <w:r>
              <w:rPr>
                <w:i/>
                <w:iCs/>
              </w:rPr>
              <w:t xml:space="preserve">The objective of this section is to assess whether an IPCEI would be an efficient tool to intervene in the given area. </w:t>
            </w:r>
          </w:p>
          <w:p w14:paraId="4FF9A8CF" w14:textId="77777777" w:rsidR="00586CB3" w:rsidRDefault="00586CB3">
            <w:pPr>
              <w:spacing w:after="60"/>
              <w:rPr>
                <w:i/>
                <w:iCs/>
              </w:rPr>
            </w:pPr>
          </w:p>
          <w:p w14:paraId="4FF9A8D0" w14:textId="77777777" w:rsidR="00586CB3" w:rsidRDefault="00410C93">
            <w:pPr>
              <w:pStyle w:val="Nadpis2"/>
              <w:tabs>
                <w:tab w:val="clear" w:pos="1077"/>
              </w:tabs>
              <w:spacing w:after="60"/>
              <w:ind w:left="306" w:hanging="204"/>
            </w:pPr>
            <w:r>
              <w:t>Can the area be entirely supported by other EU and/or national policy interventions?</w:t>
            </w:r>
          </w:p>
          <w:p w14:paraId="4FF9A8D1" w14:textId="77777777" w:rsidR="00586CB3" w:rsidRDefault="00410C93">
            <w:pPr>
              <w:pStyle w:val="Text2"/>
              <w:spacing w:after="60"/>
              <w:ind w:left="0"/>
            </w:pPr>
            <w:r>
              <w:t>While other national policy or EU funding opportunities/programs, including Horizon Europe, already support funding for fusion energy related themes/technologies or innovative low-carbon technology research, these funding interventions do not address the whole large-scale and cross-sectoral needs of the proposed IPCEI initiative. The IPCEI approach offers a more focused and coordinated that ensure strategic alignment and collaborative investment across MS.</w:t>
            </w:r>
          </w:p>
          <w:p w14:paraId="4FF9A8D2" w14:textId="77777777" w:rsidR="00586CB3" w:rsidRDefault="00410C93">
            <w:pPr>
              <w:pStyle w:val="Nadpis2"/>
              <w:tabs>
                <w:tab w:val="clear" w:pos="1077"/>
              </w:tabs>
              <w:spacing w:before="240" w:after="60"/>
              <w:ind w:left="306" w:hanging="204"/>
            </w:pPr>
            <w:r>
              <w:t>Can the area be supported by alternative funding tools, such as Horizon, DEP, CEF or other appropriate State aid instruments, such as CEEAG, RDIF, GBER?</w:t>
            </w:r>
          </w:p>
          <w:p w14:paraId="4FF9A8D3" w14:textId="77777777" w:rsidR="00586CB3" w:rsidRDefault="00410C93">
            <w:pPr>
              <w:pStyle w:val="Text2"/>
              <w:spacing w:after="60"/>
              <w:ind w:left="0"/>
            </w:pPr>
            <w:r>
              <w:t xml:space="preserve">The area under the proposed IPCEI can potentially benefit from alternative funding tools. Euratom plays an important role in supporting the development of the fusion industry within the European Union. From the alignment of Euratom with Horizon Europe, three key strands are funded: i) ITER project, ii) research activities distributed through </w:t>
            </w:r>
            <w:proofErr w:type="spellStart"/>
            <w:r>
              <w:t>EUROfusion</w:t>
            </w:r>
            <w:proofErr w:type="spellEnd"/>
            <w:r>
              <w:t xml:space="preserve"> to research centres - also on key enabling technologies, that are threated primarily from a scientific rather than engineering perspective, iii) the recently launched CSA with the objective to</w:t>
            </w:r>
            <w:r>
              <w:rPr>
                <w:color w:val="000000" w:themeColor="text1"/>
                <w:szCs w:val="24"/>
              </w:rPr>
              <w:t xml:space="preserve"> establish the European Fusion Industry Platform</w:t>
            </w:r>
            <w:r>
              <w:t>.</w:t>
            </w:r>
          </w:p>
          <w:p w14:paraId="4FF9A8D4" w14:textId="77777777" w:rsidR="00586CB3" w:rsidRDefault="00410C93">
            <w:pPr>
              <w:pStyle w:val="Text2"/>
              <w:spacing w:after="60"/>
              <w:ind w:left="0"/>
            </w:pPr>
            <w:r>
              <w:lastRenderedPageBreak/>
              <w:t>New potential opportunities for further fundings could be exploited under Horizon Europe (e.g. creating Co-Programmed European Partnerships - CPEP</w:t>
            </w:r>
            <w:r>
              <w:rPr>
                <w:rStyle w:val="Odkaznapoznmkupodiarou"/>
              </w:rPr>
              <w:footnoteReference w:id="17"/>
            </w:r>
            <w:r>
              <w:t>).</w:t>
            </w:r>
          </w:p>
          <w:p w14:paraId="4FF9A8D5" w14:textId="77777777" w:rsidR="00586CB3" w:rsidRDefault="00410C93">
            <w:pPr>
              <w:pStyle w:val="Text2"/>
              <w:spacing w:after="60"/>
              <w:ind w:left="0"/>
            </w:pPr>
            <w:r>
              <w:t>The proposed IPCEI would complement the current fusion area initiatives and enable higher-TRL advancements in a cohesive way across the full innovation-to-commercialization pipeline.</w:t>
            </w:r>
          </w:p>
          <w:p w14:paraId="4FF9A8D6" w14:textId="77777777" w:rsidR="00586CB3" w:rsidRDefault="00410C93">
            <w:pPr>
              <w:pStyle w:val="Nadpis2"/>
              <w:tabs>
                <w:tab w:val="clear" w:pos="1077"/>
              </w:tabs>
              <w:spacing w:before="240" w:after="60"/>
              <w:ind w:left="306" w:hanging="204"/>
            </w:pPr>
            <w:r>
              <w:t>Would an existing industrial alliance or the creation of an industrial alliance facilitate an EU ecosystem in the relevant area (e.g. market creation by regulatory requirements)?</w:t>
            </w:r>
          </w:p>
          <w:p w14:paraId="4FF9A8D7" w14:textId="77777777" w:rsidR="00586CB3" w:rsidRDefault="00410C93">
            <w:pPr>
              <w:pStyle w:val="Text2"/>
              <w:spacing w:after="60"/>
              <w:ind w:left="0"/>
            </w:pPr>
            <w:r>
              <w:t xml:space="preserve">Industrial alliances are designed to promote cooperation and joint action among all interested partners. Therefore, the newly created European Fusion Association (EFA) could support the creation of a European alliance on fusion technologies to serve as effective tools for implementing EU strategies in critical sectors. </w:t>
            </w:r>
            <w:r>
              <w:rPr>
                <w:szCs w:val="24"/>
              </w:rPr>
              <w:t>Indeed, EFA</w:t>
            </w:r>
            <w:r>
              <w:rPr>
                <w:szCs w:val="24"/>
                <w:lang w:eastAsia="en-US"/>
              </w:rPr>
              <w:t xml:space="preserve"> is designed to promote cooperation and joint action among all relevant stakeholders. By uniting key players, it aims to effectively support EU policy objectives, strengthen the resilience of European economies, enhance the global competitiveness of industries, and accelerate the transition to a carbon-neutral continent by 2050. EFA mission is to foster a robust EU ecosystem in fusion energy.</w:t>
            </w:r>
            <w:r>
              <w:rPr>
                <w:sz w:val="22"/>
                <w:szCs w:val="22"/>
                <w:lang w:eastAsia="en-US"/>
              </w:rPr>
              <w:t xml:space="preserve"> </w:t>
            </w:r>
          </w:p>
          <w:p w14:paraId="4FF9A8D8" w14:textId="77777777" w:rsidR="00586CB3" w:rsidRDefault="00410C93">
            <w:pPr>
              <w:pStyle w:val="Nadpis2"/>
              <w:tabs>
                <w:tab w:val="clear" w:pos="1077"/>
              </w:tabs>
              <w:spacing w:before="240" w:after="60"/>
              <w:ind w:left="306" w:hanging="204"/>
            </w:pPr>
            <w:r>
              <w:t>What would be the specific benefits of the IPCEI tool in the given area?</w:t>
            </w:r>
          </w:p>
          <w:p w14:paraId="4FF9A8D9" w14:textId="77777777" w:rsidR="00586CB3" w:rsidRDefault="00410C93">
            <w:pPr>
              <w:pStyle w:val="Text2"/>
              <w:spacing w:after="60"/>
              <w:ind w:left="0"/>
            </w:pPr>
            <w:r>
              <w:t>The IPCEI instrument provides distinct advantages compared to other EU or national funding mechanisms, making it particularly effective to addressing critical technological challenges on the pathway to licensing and developing fusion reactors. IPCEI supports large-scale transnational collaboration, driving innovation and fostering economic and industry growth in EU fusion energy.</w:t>
            </w:r>
          </w:p>
          <w:p w14:paraId="4FF9A8DA" w14:textId="77777777" w:rsidR="00586CB3" w:rsidRDefault="00410C93">
            <w:pPr>
              <w:pStyle w:val="Text2"/>
              <w:spacing w:after="60"/>
              <w:ind w:left="0"/>
            </w:pPr>
            <w:r>
              <w:rPr>
                <w:szCs w:val="22"/>
                <w:lang w:eastAsia="de-DE"/>
              </w:rPr>
              <w:t xml:space="preserve">IPCEI framework allows for large-scale funding across multiple </w:t>
            </w:r>
            <w:r>
              <w:t>MSs</w:t>
            </w:r>
            <w:r>
              <w:rPr>
                <w:szCs w:val="22"/>
                <w:lang w:eastAsia="de-DE"/>
              </w:rPr>
              <w:t>, mobilizing public and private investments at a significant level to overcome high initial development costs and support technology deployment.</w:t>
            </w:r>
            <w:r>
              <w:t xml:space="preserve"> </w:t>
            </w:r>
            <w:r>
              <w:rPr>
                <w:szCs w:val="22"/>
                <w:lang w:eastAsia="de-DE"/>
              </w:rPr>
              <w:t>Additionally, a high level of coordination with the IPCEI enables shared standards, safety objectives, and optimized resource use.</w:t>
            </w:r>
          </w:p>
          <w:p w14:paraId="4FF9A8DB" w14:textId="77777777" w:rsidR="00586CB3" w:rsidRDefault="00410C93">
            <w:pPr>
              <w:pStyle w:val="Nadpis2"/>
              <w:tabs>
                <w:tab w:val="clear" w:pos="1077"/>
              </w:tabs>
              <w:spacing w:before="240" w:after="60"/>
              <w:ind w:left="306" w:hanging="204"/>
            </w:pPr>
            <w:r>
              <w:t>How will you ensure SME participation in the IPCEI ecosystem?</w:t>
            </w:r>
          </w:p>
          <w:p w14:paraId="4FF9A8DC" w14:textId="77777777" w:rsidR="00586CB3" w:rsidRDefault="00410C93">
            <w:pPr>
              <w:pStyle w:val="Text2"/>
              <w:spacing w:after="60"/>
              <w:ind w:left="0"/>
            </w:pPr>
            <w:r>
              <w:t>To ensure SME participation in the IPCEI ecosystem, MSs will implement targeted measures such as fostering inclusive collaboration opportunities, simplifying the permitting process, and providing targeted support. Active engagement will be encouraged through dedicated workshops, networking events, and partnerships with larger industry players to integrate SMEs into value chains. Additionally, communication channels will be established to keep SMEs informed about project developments and opportunities, ensuring their meaningful contribution to the innovation process.</w:t>
            </w:r>
          </w:p>
          <w:p w14:paraId="4FF9A8DD" w14:textId="77777777" w:rsidR="00586CB3" w:rsidRDefault="00410C93">
            <w:pPr>
              <w:pStyle w:val="Text2"/>
              <w:spacing w:after="60"/>
              <w:ind w:left="0"/>
            </w:pPr>
            <w:r>
              <w:t>It has to be evidenced that the European Fusion supply chain is largely based by SMEs that will be a key target for a IPCEI on Nuclear Fusion Energy.</w:t>
            </w:r>
          </w:p>
        </w:tc>
      </w:tr>
      <w:tr w:rsidR="00586CB3" w14:paraId="4FF9A8E0" w14:textId="77777777">
        <w:tc>
          <w:tcPr>
            <w:tcW w:w="8602" w:type="dxa"/>
            <w:tcBorders>
              <w:top w:val="single" w:sz="4" w:space="0" w:color="auto"/>
              <w:left w:val="nil"/>
              <w:bottom w:val="single" w:sz="4" w:space="0" w:color="auto"/>
              <w:right w:val="nil"/>
            </w:tcBorders>
          </w:tcPr>
          <w:p w14:paraId="4FF9A8DF" w14:textId="77777777" w:rsidR="00586CB3" w:rsidRDefault="00586CB3">
            <w:pPr>
              <w:spacing w:afterLines="60" w:after="144"/>
              <w:rPr>
                <w:i/>
                <w:iCs/>
              </w:rPr>
            </w:pPr>
          </w:p>
        </w:tc>
      </w:tr>
      <w:tr w:rsidR="00586CB3" w14:paraId="4FF9A8E2" w14:textId="77777777">
        <w:tc>
          <w:tcPr>
            <w:tcW w:w="8602" w:type="dxa"/>
            <w:tcBorders>
              <w:top w:val="single" w:sz="4" w:space="0" w:color="auto"/>
              <w:bottom w:val="single" w:sz="4" w:space="0" w:color="auto"/>
            </w:tcBorders>
            <w:shd w:val="clear" w:color="auto" w:fill="EDEDED" w:themeFill="accent3" w:themeFillTint="33"/>
          </w:tcPr>
          <w:p w14:paraId="4FF9A8E1" w14:textId="77777777" w:rsidR="00586CB3" w:rsidRDefault="00410C93">
            <w:pPr>
              <w:pStyle w:val="Nadpis1"/>
              <w:spacing w:afterLines="60" w:after="144"/>
            </w:pPr>
            <w:r>
              <w:lastRenderedPageBreak/>
              <w:t>Next steps</w:t>
            </w:r>
          </w:p>
        </w:tc>
      </w:tr>
      <w:tr w:rsidR="00586CB3" w14:paraId="4FF9A8EB" w14:textId="77777777">
        <w:tc>
          <w:tcPr>
            <w:tcW w:w="8602" w:type="dxa"/>
            <w:tcBorders>
              <w:top w:val="single" w:sz="4" w:space="0" w:color="auto"/>
            </w:tcBorders>
          </w:tcPr>
          <w:p w14:paraId="4FF9A8E3" w14:textId="77777777" w:rsidR="00586CB3" w:rsidRDefault="00410C93">
            <w:pPr>
              <w:rPr>
                <w:i/>
                <w:iCs/>
              </w:rPr>
            </w:pPr>
            <w:r>
              <w:rPr>
                <w:i/>
                <w:iCs/>
              </w:rPr>
              <w:t xml:space="preserve">The objective of this section is to assess what additional analyses are required for deciding whether to continue working on an IPCEI in the given area. </w:t>
            </w:r>
          </w:p>
          <w:p w14:paraId="4FF9A8E4" w14:textId="77777777" w:rsidR="00586CB3" w:rsidRDefault="00410C93">
            <w:pPr>
              <w:pStyle w:val="Nadpis2"/>
              <w:numPr>
                <w:ilvl w:val="1"/>
                <w:numId w:val="33"/>
              </w:numPr>
              <w:ind w:left="738" w:hanging="567"/>
            </w:pPr>
            <w:r>
              <w:t>Based on the above, should the given area be further considered in-depth for a potential IPCEI?</w:t>
            </w:r>
          </w:p>
          <w:p w14:paraId="4FF9A8E5" w14:textId="77777777" w:rsidR="00586CB3" w:rsidRDefault="00410C93">
            <w:pPr>
              <w:pStyle w:val="Text2"/>
              <w:spacing w:after="0"/>
              <w:ind w:left="0"/>
            </w:pPr>
            <w:r>
              <w:t xml:space="preserve">Nuclear fusion should be further considered in-depth for a potential IPCEI, particularly considering the outlined benefits of the IPCEI instrument, the positive spill-over effects, and the substantial synergies that can be promoted between the industrial and R&amp;D sectors. The IPCEI framework presents a unique opportunity to facilitate large-scale, transnational collaboration, driving innovation and enhancing the global competitiveness of European industry. </w:t>
            </w:r>
          </w:p>
          <w:p w14:paraId="4FF9A8E6" w14:textId="77777777" w:rsidR="00586CB3" w:rsidRDefault="00410C93">
            <w:pPr>
              <w:pStyle w:val="Text2"/>
              <w:ind w:left="0"/>
            </w:pPr>
            <w:r>
              <w:t>Fusion energy technologies represent a strategic opportunity to strengthen the European Union’s leadership in clean energy innovation and ensure greater technological and industrial autonomy. The proposal for an IPCEI focusing on nuclear fusion technologies aligns with EU objectives and its priorities related to sustainability, economic growth, and energy security. Moreover, it addresses several market failures, including coordination challenges, information asymmetries, and the significant investments required to support research, scale up of the technologies and first industrial deployment.</w:t>
            </w:r>
          </w:p>
          <w:p w14:paraId="4FF9A8E7" w14:textId="77777777" w:rsidR="00586CB3" w:rsidRDefault="00410C93">
            <w:pPr>
              <w:pStyle w:val="Nadpis2"/>
              <w:numPr>
                <w:ilvl w:val="1"/>
                <w:numId w:val="33"/>
              </w:numPr>
              <w:tabs>
                <w:tab w:val="num" w:pos="2483"/>
              </w:tabs>
              <w:ind w:left="738" w:hanging="567"/>
            </w:pPr>
            <w:r>
              <w:t xml:space="preserve">What additional analyses/information would be needed to refine the assessment? </w:t>
            </w:r>
          </w:p>
          <w:p w14:paraId="4FF9A8E8" w14:textId="34D41C17" w:rsidR="00586CB3" w:rsidRDefault="00410C93">
            <w:pPr>
              <w:pStyle w:val="Text2"/>
              <w:ind w:left="0"/>
            </w:pPr>
            <w:r>
              <w:t xml:space="preserve">Additional technical, economic, and regulatory investigations will be needed. It will be crucial to assess the technological maturity of the main enabling systems, with a view to advancing them up to the highest TRL levels, and to conduct a cost-benefit analysis highlighting both the investment needed and the potential economic and environmental benefits. In parallel, a deeper examination of Europe’s industrial landscape is required, mapping the companies engaged in the sector, evaluating potential vulnerabilities, and identifying opportunities for cross-border collaboration. All factors, including </w:t>
            </w:r>
            <w:r w:rsidRPr="004E10E8">
              <w:t xml:space="preserve">regulatory framework and </w:t>
            </w:r>
            <w:r>
              <w:t xml:space="preserve">policy measures to facilitate both public and private investments, that can support the safe commercial deployment of fusion should be scrutinized in a holistic approach by all concerned organisations. It is equally important to explore synergies with other European programs and instruments—such as Horizon Europe and Euratom—in order to coordinate research and development efforts effectively and expedite the move towards industrial applications. </w:t>
            </w:r>
          </w:p>
          <w:p w14:paraId="4FF9A8E9" w14:textId="0081664E" w:rsidR="00586CB3" w:rsidRDefault="00410C93">
            <w:pPr>
              <w:pStyle w:val="Text2"/>
              <w:spacing w:after="0"/>
              <w:ind w:left="0"/>
            </w:pPr>
            <w:r>
              <w:t>A feasibility study is desirable, one that includes direct consultations with major industrial players, the scientific community, and national authorities, with the aim of refining both the scope and the roadmap of any future IPCEI on fusion energy technologies.</w:t>
            </w:r>
          </w:p>
          <w:p w14:paraId="4FF9A8EA" w14:textId="3510D8C8" w:rsidR="00586CB3" w:rsidRDefault="00410C93">
            <w:pPr>
              <w:pStyle w:val="Text2"/>
              <w:ind w:left="0"/>
            </w:pPr>
            <w:r>
              <w:t xml:space="preserve">Furthermore, during the design phase, interested Member States should seek to confirm the availability of projects and their ability and willingness to provide those with financial support on their national budget within the common timeline that will be approved between Member States for this IPCEI on </w:t>
            </w:r>
            <w:r w:rsidRPr="004E10E8">
              <w:t>innovative nuclear</w:t>
            </w:r>
            <w:r>
              <w:rPr>
                <w:b/>
                <w:bCs/>
              </w:rPr>
              <w:t xml:space="preserve"> </w:t>
            </w:r>
            <w:r>
              <w:t>technologies. Member States should also confirm the eligibility of these projects given IPCEIs’ requirements in terms of intellectual and industrial property spillover and cross-border collaborations.</w:t>
            </w:r>
          </w:p>
        </w:tc>
      </w:tr>
    </w:tbl>
    <w:p w14:paraId="4FF9A8EC" w14:textId="77777777" w:rsidR="00586CB3" w:rsidRDefault="00410C93">
      <w:pPr>
        <w:pStyle w:val="Nadpis1"/>
        <w:numPr>
          <w:ilvl w:val="0"/>
          <w:numId w:val="0"/>
        </w:numPr>
        <w:ind w:left="482" w:hanging="482"/>
        <w:jc w:val="center"/>
        <w:rPr>
          <w:lang w:val="en-IE"/>
        </w:rPr>
      </w:pPr>
      <w:r>
        <w:rPr>
          <w:lang w:val="en-IE"/>
        </w:rPr>
        <w:lastRenderedPageBreak/>
        <w:t>Annex: link with IPCEI Communication eligibility criteria</w:t>
      </w:r>
    </w:p>
    <w:p w14:paraId="4FF9A8ED" w14:textId="77777777" w:rsidR="00586CB3" w:rsidRDefault="00586CB3">
      <w:pPr>
        <w:pStyle w:val="Text1"/>
        <w:rPr>
          <w:lang w:val="en-IE"/>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1"/>
        <w:gridCol w:w="284"/>
        <w:gridCol w:w="4357"/>
      </w:tblGrid>
      <w:tr w:rsidR="00586CB3" w14:paraId="4FF9A8F1" w14:textId="77777777">
        <w:tc>
          <w:tcPr>
            <w:tcW w:w="3961" w:type="dxa"/>
            <w:tcBorders>
              <w:bottom w:val="single" w:sz="4" w:space="0" w:color="auto"/>
            </w:tcBorders>
          </w:tcPr>
          <w:p w14:paraId="4FF9A8EE" w14:textId="77777777" w:rsidR="00586CB3" w:rsidRDefault="00410C93">
            <w:pPr>
              <w:rPr>
                <w:b/>
                <w:bCs/>
              </w:rPr>
            </w:pPr>
            <w:r>
              <w:rPr>
                <w:b/>
                <w:bCs/>
              </w:rPr>
              <w:t xml:space="preserve">Eligibility Criteria for IPCEI </w:t>
            </w:r>
          </w:p>
        </w:tc>
        <w:tc>
          <w:tcPr>
            <w:tcW w:w="284" w:type="dxa"/>
            <w:tcBorders>
              <w:bottom w:val="single" w:sz="4" w:space="0" w:color="auto"/>
            </w:tcBorders>
          </w:tcPr>
          <w:p w14:paraId="4FF9A8EF" w14:textId="77777777" w:rsidR="00586CB3" w:rsidRDefault="00586CB3">
            <w:pPr>
              <w:rPr>
                <w:b/>
                <w:bCs/>
              </w:rPr>
            </w:pPr>
          </w:p>
        </w:tc>
        <w:tc>
          <w:tcPr>
            <w:tcW w:w="4357" w:type="dxa"/>
            <w:tcBorders>
              <w:bottom w:val="single" w:sz="4" w:space="0" w:color="auto"/>
            </w:tcBorders>
          </w:tcPr>
          <w:p w14:paraId="4FF9A8F0" w14:textId="77777777" w:rsidR="00586CB3" w:rsidRDefault="00410C93">
            <w:pPr>
              <w:rPr>
                <w:b/>
                <w:bCs/>
              </w:rPr>
            </w:pPr>
            <w:r>
              <w:rPr>
                <w:b/>
                <w:bCs/>
              </w:rPr>
              <w:t>Assessment in fiche</w:t>
            </w:r>
          </w:p>
        </w:tc>
      </w:tr>
      <w:tr w:rsidR="00586CB3" w14:paraId="4FF9A8F5" w14:textId="77777777">
        <w:tc>
          <w:tcPr>
            <w:tcW w:w="3961" w:type="dxa"/>
            <w:tcBorders>
              <w:top w:val="single" w:sz="4" w:space="0" w:color="auto"/>
            </w:tcBorders>
            <w:shd w:val="clear" w:color="auto" w:fill="EDEDED" w:themeFill="accent3" w:themeFillTint="33"/>
          </w:tcPr>
          <w:p w14:paraId="4FF9A8F2" w14:textId="77777777" w:rsidR="00586CB3" w:rsidRDefault="00410C93">
            <w:r>
              <w:t xml:space="preserve">3.1. Definition </w:t>
            </w:r>
          </w:p>
        </w:tc>
        <w:tc>
          <w:tcPr>
            <w:tcW w:w="284" w:type="dxa"/>
            <w:tcBorders>
              <w:top w:val="single" w:sz="4" w:space="0" w:color="auto"/>
            </w:tcBorders>
            <w:shd w:val="clear" w:color="auto" w:fill="EDEDED" w:themeFill="accent3" w:themeFillTint="33"/>
          </w:tcPr>
          <w:p w14:paraId="4FF9A8F3" w14:textId="77777777" w:rsidR="00586CB3" w:rsidRDefault="00586CB3"/>
        </w:tc>
        <w:tc>
          <w:tcPr>
            <w:tcW w:w="4357" w:type="dxa"/>
            <w:tcBorders>
              <w:top w:val="single" w:sz="4" w:space="0" w:color="auto"/>
            </w:tcBorders>
            <w:shd w:val="clear" w:color="auto" w:fill="EDEDED" w:themeFill="accent3" w:themeFillTint="33"/>
          </w:tcPr>
          <w:p w14:paraId="4FF9A8F4" w14:textId="77777777" w:rsidR="00586CB3" w:rsidRDefault="00586CB3"/>
        </w:tc>
      </w:tr>
      <w:tr w:rsidR="00586CB3" w14:paraId="4FF9A8F9" w14:textId="77777777">
        <w:tc>
          <w:tcPr>
            <w:tcW w:w="3961" w:type="dxa"/>
          </w:tcPr>
          <w:p w14:paraId="4FF9A8F6" w14:textId="77777777" w:rsidR="00586CB3" w:rsidRDefault="00410C93">
            <w:r>
              <w:t>Integrated project (§13)</w:t>
            </w:r>
          </w:p>
        </w:tc>
        <w:tc>
          <w:tcPr>
            <w:tcW w:w="284" w:type="dxa"/>
          </w:tcPr>
          <w:p w14:paraId="4FF9A8F7" w14:textId="77777777" w:rsidR="00586CB3" w:rsidRDefault="00586CB3"/>
        </w:tc>
        <w:tc>
          <w:tcPr>
            <w:tcW w:w="4357" w:type="dxa"/>
          </w:tcPr>
          <w:p w14:paraId="4FF9A8F8" w14:textId="77777777" w:rsidR="00586CB3" w:rsidRDefault="00410C93">
            <w:r>
              <w:rPr>
                <w:i/>
                <w:iCs/>
              </w:rPr>
              <w:t xml:space="preserve">To be assessed later in design phase but some elements could be included in </w:t>
            </w:r>
            <w:r>
              <w:t xml:space="preserve">4. Market dimension </w:t>
            </w:r>
            <w:r>
              <w:rPr>
                <w:i/>
                <w:iCs/>
              </w:rPr>
              <w:t xml:space="preserve">section </w:t>
            </w:r>
            <w:r>
              <w:t>(question 4.1)</w:t>
            </w:r>
          </w:p>
        </w:tc>
      </w:tr>
      <w:tr w:rsidR="00586CB3" w14:paraId="4FF9A8FD" w14:textId="77777777">
        <w:tc>
          <w:tcPr>
            <w:tcW w:w="3961" w:type="dxa"/>
            <w:shd w:val="clear" w:color="auto" w:fill="EDEDED" w:themeFill="accent3" w:themeFillTint="33"/>
          </w:tcPr>
          <w:p w14:paraId="4FF9A8FA" w14:textId="77777777" w:rsidR="00586CB3" w:rsidRDefault="00410C93">
            <w:r>
              <w:t>3.2 Common European Interest</w:t>
            </w:r>
          </w:p>
        </w:tc>
        <w:tc>
          <w:tcPr>
            <w:tcW w:w="284" w:type="dxa"/>
            <w:shd w:val="clear" w:color="auto" w:fill="EDEDED" w:themeFill="accent3" w:themeFillTint="33"/>
          </w:tcPr>
          <w:p w14:paraId="4FF9A8FB" w14:textId="77777777" w:rsidR="00586CB3" w:rsidRDefault="00586CB3"/>
        </w:tc>
        <w:tc>
          <w:tcPr>
            <w:tcW w:w="4357" w:type="dxa"/>
            <w:shd w:val="clear" w:color="auto" w:fill="EDEDED" w:themeFill="accent3" w:themeFillTint="33"/>
          </w:tcPr>
          <w:p w14:paraId="4FF9A8FC" w14:textId="77777777" w:rsidR="00586CB3" w:rsidRDefault="00586CB3"/>
        </w:tc>
      </w:tr>
      <w:tr w:rsidR="00586CB3" w14:paraId="4FF9A901" w14:textId="77777777">
        <w:tc>
          <w:tcPr>
            <w:tcW w:w="3961" w:type="dxa"/>
          </w:tcPr>
          <w:p w14:paraId="4FF9A8FE" w14:textId="77777777" w:rsidR="00586CB3" w:rsidRDefault="00410C93">
            <w:r>
              <w:t>Contribution to EU objectives and strategies (§14)</w:t>
            </w:r>
          </w:p>
        </w:tc>
        <w:tc>
          <w:tcPr>
            <w:tcW w:w="284" w:type="dxa"/>
          </w:tcPr>
          <w:p w14:paraId="4FF9A8FF" w14:textId="77777777" w:rsidR="00586CB3" w:rsidRDefault="00586CB3"/>
        </w:tc>
        <w:tc>
          <w:tcPr>
            <w:tcW w:w="4357" w:type="dxa"/>
          </w:tcPr>
          <w:p w14:paraId="4FF9A900" w14:textId="77777777" w:rsidR="00586CB3" w:rsidRDefault="00410C93">
            <w:r>
              <w:t>Section 2. Political and industrial strategy objectives (question 2.2)</w:t>
            </w:r>
          </w:p>
        </w:tc>
      </w:tr>
      <w:tr w:rsidR="00586CB3" w14:paraId="4FF9A905" w14:textId="77777777">
        <w:tc>
          <w:tcPr>
            <w:tcW w:w="3961" w:type="dxa"/>
          </w:tcPr>
          <w:p w14:paraId="4FF9A902" w14:textId="77777777" w:rsidR="00586CB3" w:rsidRDefault="00410C93">
            <w:r>
              <w:t>Overcoming important systemic or market failures, or societal challenges (§15)</w:t>
            </w:r>
          </w:p>
        </w:tc>
        <w:tc>
          <w:tcPr>
            <w:tcW w:w="284" w:type="dxa"/>
          </w:tcPr>
          <w:p w14:paraId="4FF9A903" w14:textId="77777777" w:rsidR="00586CB3" w:rsidRDefault="00586CB3"/>
        </w:tc>
        <w:tc>
          <w:tcPr>
            <w:tcW w:w="4357" w:type="dxa"/>
          </w:tcPr>
          <w:p w14:paraId="4FF9A904" w14:textId="77777777" w:rsidR="00586CB3" w:rsidRDefault="00410C93">
            <w:r>
              <w:t>Section 2. Political and industrial policy objectives (question 4.1)</w:t>
            </w:r>
          </w:p>
        </w:tc>
      </w:tr>
      <w:tr w:rsidR="00586CB3" w14:paraId="4FF9A909" w14:textId="77777777">
        <w:tc>
          <w:tcPr>
            <w:tcW w:w="3961" w:type="dxa"/>
          </w:tcPr>
          <w:p w14:paraId="4FF9A906" w14:textId="77777777" w:rsidR="00586CB3" w:rsidRDefault="00410C93">
            <w:r>
              <w:t>Minimum 4 Member States (§16)</w:t>
            </w:r>
          </w:p>
        </w:tc>
        <w:tc>
          <w:tcPr>
            <w:tcW w:w="284" w:type="dxa"/>
          </w:tcPr>
          <w:p w14:paraId="4FF9A907" w14:textId="77777777" w:rsidR="00586CB3" w:rsidRDefault="00586CB3"/>
        </w:tc>
        <w:tc>
          <w:tcPr>
            <w:tcW w:w="4357" w:type="dxa"/>
          </w:tcPr>
          <w:p w14:paraId="4FF9A908" w14:textId="77777777" w:rsidR="00586CB3" w:rsidRDefault="00410C93">
            <w:pPr>
              <w:rPr>
                <w:i/>
                <w:iCs/>
              </w:rPr>
            </w:pPr>
            <w:r>
              <w:rPr>
                <w:i/>
                <w:iCs/>
              </w:rPr>
              <w:t xml:space="preserve">To be assessed later in design phase but some elements could be included in </w:t>
            </w:r>
            <w:r>
              <w:t xml:space="preserve">4. Market dimension </w:t>
            </w:r>
            <w:r>
              <w:rPr>
                <w:i/>
                <w:iCs/>
              </w:rPr>
              <w:t xml:space="preserve">section </w:t>
            </w:r>
            <w:r>
              <w:t>(question 4.1)</w:t>
            </w:r>
          </w:p>
        </w:tc>
      </w:tr>
      <w:tr w:rsidR="00586CB3" w14:paraId="4FF9A90D" w14:textId="77777777">
        <w:tc>
          <w:tcPr>
            <w:tcW w:w="3961" w:type="dxa"/>
          </w:tcPr>
          <w:p w14:paraId="4FF9A90A" w14:textId="77777777" w:rsidR="00586CB3" w:rsidRDefault="00410C93">
            <w:r>
              <w:t>Spill-overs to economy and society (§18)</w:t>
            </w:r>
          </w:p>
        </w:tc>
        <w:tc>
          <w:tcPr>
            <w:tcW w:w="284" w:type="dxa"/>
          </w:tcPr>
          <w:p w14:paraId="4FF9A90B" w14:textId="77777777" w:rsidR="00586CB3" w:rsidRDefault="00586CB3"/>
        </w:tc>
        <w:tc>
          <w:tcPr>
            <w:tcW w:w="4357" w:type="dxa"/>
          </w:tcPr>
          <w:p w14:paraId="4FF9A90C" w14:textId="77777777" w:rsidR="00586CB3" w:rsidRDefault="00410C93">
            <w:r>
              <w:t xml:space="preserve">Section 3. EU dimension (question 3.2) </w:t>
            </w:r>
          </w:p>
        </w:tc>
      </w:tr>
      <w:tr w:rsidR="00586CB3" w14:paraId="4FF9A911" w14:textId="77777777">
        <w:tc>
          <w:tcPr>
            <w:tcW w:w="3961" w:type="dxa"/>
          </w:tcPr>
          <w:p w14:paraId="4FF9A90E" w14:textId="77777777" w:rsidR="00586CB3" w:rsidRDefault="00410C93">
            <w:r>
              <w:t>Co-financing by the beneficiaries (§19)</w:t>
            </w:r>
          </w:p>
        </w:tc>
        <w:tc>
          <w:tcPr>
            <w:tcW w:w="284" w:type="dxa"/>
          </w:tcPr>
          <w:p w14:paraId="4FF9A90F" w14:textId="77777777" w:rsidR="00586CB3" w:rsidRDefault="00586CB3"/>
        </w:tc>
        <w:tc>
          <w:tcPr>
            <w:tcW w:w="4357" w:type="dxa"/>
          </w:tcPr>
          <w:p w14:paraId="4FF9A910" w14:textId="77777777" w:rsidR="00586CB3" w:rsidRDefault="00410C93">
            <w:r>
              <w:rPr>
                <w:i/>
                <w:iCs/>
              </w:rPr>
              <w:t xml:space="preserve">To be assessed later in design phase but some elements could be included in </w:t>
            </w:r>
            <w:r>
              <w:t xml:space="preserve">4. Market dimension </w:t>
            </w:r>
            <w:r>
              <w:rPr>
                <w:i/>
                <w:iCs/>
              </w:rPr>
              <w:t xml:space="preserve">section </w:t>
            </w:r>
            <w:r>
              <w:t>(question 4.1)</w:t>
            </w:r>
          </w:p>
        </w:tc>
      </w:tr>
      <w:tr w:rsidR="00586CB3" w14:paraId="4FF9A915" w14:textId="77777777">
        <w:tc>
          <w:tcPr>
            <w:tcW w:w="3961" w:type="dxa"/>
          </w:tcPr>
          <w:p w14:paraId="4FF9A912" w14:textId="77777777" w:rsidR="00586CB3" w:rsidRDefault="00410C93">
            <w:r>
              <w:t>Compatibility with DNSH (Is there an EU value chain to mobilise? (§20</w:t>
            </w:r>
            <w:r>
              <w:rPr>
                <w:i/>
                <w:iCs/>
              </w:rPr>
              <w:t>)</w:t>
            </w:r>
          </w:p>
        </w:tc>
        <w:tc>
          <w:tcPr>
            <w:tcW w:w="284" w:type="dxa"/>
          </w:tcPr>
          <w:p w14:paraId="4FF9A913" w14:textId="77777777" w:rsidR="00586CB3" w:rsidRDefault="00586CB3">
            <w:pPr>
              <w:rPr>
                <w:i/>
                <w:iCs/>
              </w:rPr>
            </w:pPr>
          </w:p>
        </w:tc>
        <w:tc>
          <w:tcPr>
            <w:tcW w:w="4357" w:type="dxa"/>
          </w:tcPr>
          <w:p w14:paraId="4FF9A914" w14:textId="77777777" w:rsidR="00586CB3" w:rsidRDefault="00410C93">
            <w:pPr>
              <w:rPr>
                <w:i/>
                <w:iCs/>
              </w:rPr>
            </w:pPr>
            <w:r>
              <w:rPr>
                <w:i/>
                <w:iCs/>
              </w:rPr>
              <w:t>To be assessed in design phase</w:t>
            </w:r>
          </w:p>
        </w:tc>
      </w:tr>
      <w:tr w:rsidR="00586CB3" w14:paraId="4FF9A919" w14:textId="77777777">
        <w:tc>
          <w:tcPr>
            <w:tcW w:w="3961" w:type="dxa"/>
          </w:tcPr>
          <w:p w14:paraId="4FF9A916" w14:textId="77777777" w:rsidR="00586CB3" w:rsidRDefault="00410C93">
            <w:r>
              <w:t>Addressing a clearly identified and significant strategic dependency (§21)</w:t>
            </w:r>
          </w:p>
        </w:tc>
        <w:tc>
          <w:tcPr>
            <w:tcW w:w="284" w:type="dxa"/>
          </w:tcPr>
          <w:p w14:paraId="4FF9A917" w14:textId="77777777" w:rsidR="00586CB3" w:rsidRDefault="00586CB3">
            <w:pPr>
              <w:rPr>
                <w:i/>
                <w:iCs/>
              </w:rPr>
            </w:pPr>
          </w:p>
        </w:tc>
        <w:tc>
          <w:tcPr>
            <w:tcW w:w="4357" w:type="dxa"/>
          </w:tcPr>
          <w:p w14:paraId="4FF9A918" w14:textId="77777777" w:rsidR="00586CB3" w:rsidRDefault="00410C93">
            <w:r>
              <w:t>Section 3 EU dimension (question 3.3)</w:t>
            </w:r>
          </w:p>
        </w:tc>
      </w:tr>
      <w:tr w:rsidR="00586CB3" w14:paraId="4FF9A91D" w14:textId="77777777">
        <w:tc>
          <w:tcPr>
            <w:tcW w:w="3961" w:type="dxa"/>
          </w:tcPr>
          <w:p w14:paraId="4FF9A91A" w14:textId="77777777" w:rsidR="00586CB3" w:rsidRDefault="00410C93">
            <w:r>
              <w:t>Major innovative nature, in the light of the state of the art in the sector (§22)</w:t>
            </w:r>
          </w:p>
        </w:tc>
        <w:tc>
          <w:tcPr>
            <w:tcW w:w="284" w:type="dxa"/>
          </w:tcPr>
          <w:p w14:paraId="4FF9A91B" w14:textId="77777777" w:rsidR="00586CB3" w:rsidRDefault="00586CB3"/>
        </w:tc>
        <w:tc>
          <w:tcPr>
            <w:tcW w:w="4357" w:type="dxa"/>
          </w:tcPr>
          <w:p w14:paraId="4FF9A91C" w14:textId="77777777" w:rsidR="00586CB3" w:rsidRDefault="00410C93">
            <w:r>
              <w:t>Section 2. Political and industrial policy objectives (question 2.3)</w:t>
            </w:r>
          </w:p>
        </w:tc>
      </w:tr>
      <w:tr w:rsidR="00586CB3" w14:paraId="4FF9A921" w14:textId="77777777">
        <w:tc>
          <w:tcPr>
            <w:tcW w:w="3961" w:type="dxa"/>
          </w:tcPr>
          <w:p w14:paraId="4FF9A91E" w14:textId="77777777" w:rsidR="00586CB3" w:rsidRDefault="00410C93">
            <w:r>
              <w:t>First industrial deployment (§23-24)</w:t>
            </w:r>
          </w:p>
        </w:tc>
        <w:tc>
          <w:tcPr>
            <w:tcW w:w="284" w:type="dxa"/>
          </w:tcPr>
          <w:p w14:paraId="4FF9A91F" w14:textId="77777777" w:rsidR="00586CB3" w:rsidRDefault="00586CB3"/>
        </w:tc>
        <w:tc>
          <w:tcPr>
            <w:tcW w:w="4357" w:type="dxa"/>
          </w:tcPr>
          <w:p w14:paraId="4FF9A920" w14:textId="77777777" w:rsidR="00586CB3" w:rsidRDefault="00410C93">
            <w:r>
              <w:t>Section 2. Political and industrial policy objectives (question 2.3)</w:t>
            </w:r>
          </w:p>
        </w:tc>
      </w:tr>
      <w:tr w:rsidR="00586CB3" w14:paraId="4FF9A925" w14:textId="77777777">
        <w:tc>
          <w:tcPr>
            <w:tcW w:w="3961" w:type="dxa"/>
            <w:shd w:val="clear" w:color="auto" w:fill="EDEDED" w:themeFill="accent3" w:themeFillTint="33"/>
          </w:tcPr>
          <w:p w14:paraId="4FF9A922" w14:textId="77777777" w:rsidR="00586CB3" w:rsidRDefault="00410C93">
            <w:r>
              <w:t>3.3 Importance of the project</w:t>
            </w:r>
          </w:p>
        </w:tc>
        <w:tc>
          <w:tcPr>
            <w:tcW w:w="284" w:type="dxa"/>
            <w:shd w:val="clear" w:color="auto" w:fill="EDEDED" w:themeFill="accent3" w:themeFillTint="33"/>
          </w:tcPr>
          <w:p w14:paraId="4FF9A923" w14:textId="77777777" w:rsidR="00586CB3" w:rsidRDefault="00586CB3"/>
        </w:tc>
        <w:tc>
          <w:tcPr>
            <w:tcW w:w="4357" w:type="dxa"/>
            <w:shd w:val="clear" w:color="auto" w:fill="EDEDED" w:themeFill="accent3" w:themeFillTint="33"/>
          </w:tcPr>
          <w:p w14:paraId="4FF9A924" w14:textId="77777777" w:rsidR="00586CB3" w:rsidRDefault="00586CB3"/>
        </w:tc>
      </w:tr>
      <w:tr w:rsidR="00586CB3" w14:paraId="4FF9A929" w14:textId="77777777">
        <w:tc>
          <w:tcPr>
            <w:tcW w:w="3961" w:type="dxa"/>
          </w:tcPr>
          <w:p w14:paraId="4FF9A926" w14:textId="77777777" w:rsidR="00586CB3" w:rsidRDefault="00410C93">
            <w:r>
              <w:t>Importance of the project (§26)</w:t>
            </w:r>
          </w:p>
        </w:tc>
        <w:tc>
          <w:tcPr>
            <w:tcW w:w="284" w:type="dxa"/>
          </w:tcPr>
          <w:p w14:paraId="4FF9A927" w14:textId="77777777" w:rsidR="00586CB3" w:rsidRDefault="00586CB3"/>
        </w:tc>
        <w:tc>
          <w:tcPr>
            <w:tcW w:w="4357" w:type="dxa"/>
          </w:tcPr>
          <w:p w14:paraId="4FF9A928" w14:textId="77777777" w:rsidR="00586CB3" w:rsidRDefault="00410C93">
            <w:r>
              <w:t>Section 2. Political and industrial policy objectives (question 2.1)</w:t>
            </w:r>
          </w:p>
        </w:tc>
      </w:tr>
      <w:tr w:rsidR="00586CB3" w14:paraId="4FF9A92D" w14:textId="77777777">
        <w:tc>
          <w:tcPr>
            <w:tcW w:w="3961" w:type="dxa"/>
          </w:tcPr>
          <w:p w14:paraId="4FF9A92A" w14:textId="77777777" w:rsidR="00586CB3" w:rsidRDefault="00586CB3"/>
        </w:tc>
        <w:tc>
          <w:tcPr>
            <w:tcW w:w="284" w:type="dxa"/>
          </w:tcPr>
          <w:p w14:paraId="4FF9A92B" w14:textId="77777777" w:rsidR="00586CB3" w:rsidRDefault="00586CB3"/>
        </w:tc>
        <w:tc>
          <w:tcPr>
            <w:tcW w:w="4357" w:type="dxa"/>
          </w:tcPr>
          <w:p w14:paraId="4FF9A92C" w14:textId="77777777" w:rsidR="00586CB3" w:rsidRDefault="00586CB3"/>
        </w:tc>
      </w:tr>
      <w:tr w:rsidR="00586CB3" w14:paraId="4FF9A931" w14:textId="77777777">
        <w:tc>
          <w:tcPr>
            <w:tcW w:w="3961" w:type="dxa"/>
          </w:tcPr>
          <w:p w14:paraId="4FF9A92E" w14:textId="77777777" w:rsidR="00586CB3" w:rsidRDefault="00586CB3"/>
        </w:tc>
        <w:tc>
          <w:tcPr>
            <w:tcW w:w="284" w:type="dxa"/>
          </w:tcPr>
          <w:p w14:paraId="4FF9A92F" w14:textId="77777777" w:rsidR="00586CB3" w:rsidRDefault="00586CB3"/>
        </w:tc>
        <w:tc>
          <w:tcPr>
            <w:tcW w:w="4357" w:type="dxa"/>
          </w:tcPr>
          <w:p w14:paraId="4FF9A930" w14:textId="77777777" w:rsidR="00586CB3" w:rsidRDefault="00586CB3"/>
        </w:tc>
      </w:tr>
    </w:tbl>
    <w:p w14:paraId="4FF9A932" w14:textId="77777777" w:rsidR="00586CB3" w:rsidRDefault="00586CB3"/>
    <w:sectPr w:rsidR="00586CB3">
      <w:footerReference w:type="even" r:id="rId16"/>
      <w:footerReference w:type="default" r:id="rId17"/>
      <w:footerReference w:type="first" r:id="rId18"/>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02DF2" w14:textId="77777777" w:rsidR="00B554AB" w:rsidRDefault="00B554AB">
      <w:pPr>
        <w:spacing w:after="0"/>
      </w:pPr>
      <w:r>
        <w:separator/>
      </w:r>
    </w:p>
  </w:endnote>
  <w:endnote w:type="continuationSeparator" w:id="0">
    <w:p w14:paraId="60B46B3B" w14:textId="77777777" w:rsidR="00B554AB" w:rsidRDefault="00B554AB">
      <w:pPr>
        <w:spacing w:after="0"/>
      </w:pPr>
      <w:r>
        <w:continuationSeparator/>
      </w:r>
    </w:p>
  </w:endnote>
  <w:endnote w:type="continuationNotice" w:id="1">
    <w:p w14:paraId="24608B81" w14:textId="77777777" w:rsidR="00B554AB" w:rsidRDefault="00B554A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charset w:val="00"/>
    <w:family w:val="roman"/>
    <w:pitch w:val="variable"/>
  </w:font>
  <w:font w:name="Tahoma">
    <w:panose1 w:val="020B0604030504040204"/>
    <w:charset w:val="EE"/>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9A950" w14:textId="77777777" w:rsidR="00586CB3" w:rsidRDefault="00410C93">
    <w:pPr>
      <w:pStyle w:val="FooterLine"/>
      <w:jc w:val="center"/>
    </w:pPr>
    <w:r>
      <w:rPr>
        <w:noProof/>
        <w:lang w:val="it-IT" w:eastAsia="it-IT"/>
      </w:rPr>
      <mc:AlternateContent>
        <mc:Choice Requires="wps">
          <w:drawing>
            <wp:anchor distT="0" distB="0" distL="0" distR="0" simplePos="0" relativeHeight="251658241" behindDoc="0" locked="0" layoutInCell="1" allowOverlap="1" wp14:anchorId="4FF9A953" wp14:editId="4FF9A954">
              <wp:simplePos x="635" y="635"/>
              <wp:positionH relativeFrom="page">
                <wp:align>center</wp:align>
              </wp:positionH>
              <wp:positionV relativeFrom="page">
                <wp:align>bottom</wp:align>
              </wp:positionV>
              <wp:extent cx="443865" cy="443865"/>
              <wp:effectExtent l="0" t="0" r="12065" b="0"/>
              <wp:wrapNone/>
              <wp:docPr id="827497257" name="Casella di testo 2" descr="Interno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FF9A96C" w14:textId="77777777" w:rsidR="00586CB3" w:rsidRDefault="00410C93">
                          <w:pPr>
                            <w:spacing w:after="0"/>
                            <w:rPr>
                              <w:rFonts w:ascii="Arial" w:eastAsia="Arial" w:hAnsi="Arial" w:cs="Arial"/>
                              <w:noProof/>
                              <w:color w:val="737373"/>
                              <w:sz w:val="18"/>
                              <w:szCs w:val="18"/>
                            </w:rPr>
                          </w:pPr>
                          <w:r>
                            <w:rPr>
                              <w:rFonts w:ascii="Arial" w:eastAsia="Arial" w:hAnsi="Arial" w:cs="Arial"/>
                              <w:noProof/>
                              <w:color w:val="737373"/>
                              <w:sz w:val="18"/>
                              <w:szCs w:val="18"/>
                            </w:rPr>
                            <w:t>Interno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8CDF8E" id="_x0000_t202" coordsize="21600,21600" o:spt="202" path="m,l,21600r21600,l21600,xe">
              <v:stroke joinstyle="miter"/>
              <v:path gradientshapeok="t" o:connecttype="rect"/>
            </v:shapetype>
            <v:shape id="Casella di testo 2" o:spid="_x0000_s1026" type="#_x0000_t202" alt="Interno – Internal" style="position:absolute;left:0;text-align:left;margin-left:0;margin-top:0;width:34.95pt;height:34.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" filled="f" stroked="f">
              <v:textbox style="mso-fit-shape-to-text:t" inset="0,0,0,15pt">
                <w:txbxContent>
                  <w:p w14:paraId="228CDFA7" w14:textId="77777777" w:rsidR="006262A3" w:rsidRDefault="00206DB0">
                    <w:pPr>
                      <w:spacing w:after="0"/>
                      <w:rPr>
                        <w:rFonts w:ascii="Arial" w:eastAsia="Arial" w:hAnsi="Arial" w:cs="Arial"/>
                        <w:noProof/>
                        <w:color w:val="737373"/>
                        <w:sz w:val="18"/>
                        <w:szCs w:val="18"/>
                      </w:rPr>
                    </w:pPr>
                    <w:r>
                      <w:rPr>
                        <w:rFonts w:ascii="Arial" w:eastAsia="Arial" w:hAnsi="Arial" w:cs="Arial"/>
                        <w:noProof/>
                        <w:color w:val="737373"/>
                        <w:sz w:val="18"/>
                        <w:szCs w:val="18"/>
                      </w:rPr>
                      <w:t xml:space="preserve">Interno – </w:t>
                    </w:r>
                    <w:r>
                      <w:rPr>
                        <w:rFonts w:ascii="Arial" w:eastAsia="Arial" w:hAnsi="Arial" w:cs="Arial"/>
                        <w:noProof/>
                        <w:color w:val="737373"/>
                        <w:sz w:val="18"/>
                        <w:szCs w:val="18"/>
                      </w:rPr>
                      <w:t>Internal</w:t>
                    </w:r>
                  </w:p>
                </w:txbxContent>
              </v:textbox>
              <w10:wrap anchorx="page" anchory="page"/>
            </v:shape>
          </w:pict>
        </mc:Fallback>
      </mc:AlternateContent>
    </w:r>
    <w:r>
      <w:fldChar w:fldCharType="begin"/>
    </w:r>
    <w:r>
      <w:instrText>PAGE   \* MERGEFORMAT</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9A951" w14:textId="740354D5" w:rsidR="00586CB3" w:rsidRDefault="00410C93">
    <w:pPr>
      <w:pStyle w:val="FooterLine"/>
      <w:jc w:val="center"/>
    </w:pPr>
    <w:r>
      <w:fldChar w:fldCharType="begin"/>
    </w:r>
    <w:r>
      <w:instrText>PAGE   \* MERGEFORMAT</w:instrText>
    </w:r>
    <w:r>
      <w:fldChar w:fldCharType="separate"/>
    </w:r>
    <w:r>
      <w:rPr>
        <w:noProof/>
      </w:rP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9A952" w14:textId="69386097" w:rsidR="00586CB3" w:rsidRDefault="00410C93">
    <w:pPr>
      <w:pStyle w:val="Pta"/>
    </w:pPr>
    <w:r>
      <w:rPr>
        <w:noProof/>
        <w:lang w:val="it-IT" w:eastAsia="it-IT"/>
      </w:rPr>
      <mc:AlternateContent>
        <mc:Choice Requires="wps">
          <w:drawing>
            <wp:anchor distT="0" distB="0" distL="0" distR="0" simplePos="0" relativeHeight="251658240" behindDoc="0" locked="0" layoutInCell="1" allowOverlap="1" wp14:anchorId="4FF9A957" wp14:editId="4FF9A958">
              <wp:simplePos x="1009650" y="9893300"/>
              <wp:positionH relativeFrom="page">
                <wp:align>center</wp:align>
              </wp:positionH>
              <wp:positionV relativeFrom="page">
                <wp:align>bottom</wp:align>
              </wp:positionV>
              <wp:extent cx="443865" cy="443865"/>
              <wp:effectExtent l="0" t="0" r="12065" b="0"/>
              <wp:wrapNone/>
              <wp:docPr id="896552860" name="Casella di testo 1" descr="Interno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FF9A96F" w14:textId="77777777" w:rsidR="00586CB3" w:rsidRDefault="00410C93">
                          <w:pPr>
                            <w:spacing w:after="0"/>
                            <w:rPr>
                              <w:rFonts w:ascii="Arial" w:eastAsia="Arial" w:hAnsi="Arial" w:cs="Arial"/>
                              <w:noProof/>
                              <w:color w:val="737373"/>
                              <w:sz w:val="18"/>
                              <w:szCs w:val="18"/>
                            </w:rPr>
                          </w:pPr>
                          <w:r>
                            <w:rPr>
                              <w:rFonts w:ascii="Arial" w:eastAsia="Arial" w:hAnsi="Arial" w:cs="Arial"/>
                              <w:noProof/>
                              <w:color w:val="737373"/>
                              <w:sz w:val="18"/>
                              <w:szCs w:val="18"/>
                            </w:rPr>
                            <w:t>Interno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8CDF92" id="_x0000_t202" coordsize="21600,21600" o:spt="202" path="m,l,21600r21600,l21600,xe">
              <v:stroke joinstyle="miter"/>
              <v:path gradientshapeok="t" o:connecttype="rect"/>
            </v:shapetype>
            <v:shape id="Casella di testo 1" o:spid="_x0000_s1028" type="#_x0000_t202" alt="Interno – Internal"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" filled="f" stroked="f">
              <v:textbox style="mso-fit-shape-to-text:t" inset="0,0,0,15pt">
                <w:txbxContent>
                  <w:p w14:paraId="228CDFAA" w14:textId="77777777" w:rsidR="006262A3" w:rsidRDefault="00206DB0">
                    <w:pPr>
                      <w:spacing w:after="0"/>
                      <w:rPr>
                        <w:rFonts w:ascii="Arial" w:eastAsia="Arial" w:hAnsi="Arial" w:cs="Arial"/>
                        <w:noProof/>
                        <w:color w:val="737373"/>
                        <w:sz w:val="18"/>
                        <w:szCs w:val="18"/>
                      </w:rPr>
                    </w:pPr>
                    <w:r>
                      <w:rPr>
                        <w:rFonts w:ascii="Arial" w:eastAsia="Arial" w:hAnsi="Arial" w:cs="Arial"/>
                        <w:noProof/>
                        <w:color w:val="737373"/>
                        <w:sz w:val="18"/>
                        <w:szCs w:val="18"/>
                      </w:rPr>
                      <w:t>Interno –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8D281" w14:textId="77777777" w:rsidR="00B554AB" w:rsidRDefault="00B554AB">
      <w:pPr>
        <w:spacing w:after="0"/>
      </w:pPr>
      <w:r>
        <w:separator/>
      </w:r>
    </w:p>
  </w:footnote>
  <w:footnote w:type="continuationSeparator" w:id="0">
    <w:p w14:paraId="25CE3F0F" w14:textId="77777777" w:rsidR="00B554AB" w:rsidRDefault="00B554AB">
      <w:pPr>
        <w:spacing w:after="0"/>
      </w:pPr>
      <w:r>
        <w:continuationSeparator/>
      </w:r>
    </w:p>
  </w:footnote>
  <w:footnote w:type="continuationNotice" w:id="1">
    <w:p w14:paraId="203E25C2" w14:textId="77777777" w:rsidR="00B554AB" w:rsidRDefault="00B554AB">
      <w:pPr>
        <w:spacing w:after="0"/>
      </w:pPr>
    </w:p>
  </w:footnote>
  <w:footnote w:id="2">
    <w:p w14:paraId="4FF9A959" w14:textId="77777777" w:rsidR="00586CB3" w:rsidRDefault="00410C93">
      <w:pPr>
        <w:pStyle w:val="Textpoznmkypodiarou"/>
        <w:ind w:left="142" w:hanging="142"/>
        <w:rPr>
          <w:lang w:val="en-US"/>
        </w:rPr>
      </w:pPr>
      <w:r>
        <w:rPr>
          <w:rStyle w:val="Odkaznapoznmkupodiarou"/>
        </w:rPr>
        <w:footnoteRef/>
      </w:r>
      <w:r>
        <w:t xml:space="preserve"> Additional projects which would qualify as infrastructure projects according to the Commission terminology could be considered in the Design phase, provided they can contribute to the roadmap of the IPCEI.</w:t>
      </w:r>
    </w:p>
  </w:footnote>
  <w:footnote w:id="3">
    <w:p w14:paraId="4FF9A95A" w14:textId="77777777" w:rsidR="00586CB3" w:rsidRDefault="00410C93">
      <w:pPr>
        <w:pStyle w:val="Textpoznmkypodiarou"/>
        <w:ind w:left="142" w:hanging="142"/>
      </w:pPr>
      <w:r>
        <w:rPr>
          <w:rStyle w:val="Odkaznapoznmkupodiarou"/>
        </w:rPr>
        <w:footnoteRef/>
      </w:r>
      <w:r>
        <w:t xml:space="preserve"> Regular upgrades without an innovative dimension of existing facilities and the development of newer versions of existing products do not qualify as first industrial deployment.</w:t>
      </w:r>
    </w:p>
  </w:footnote>
  <w:footnote w:id="4">
    <w:p w14:paraId="4FF9A95B" w14:textId="77777777" w:rsidR="00586CB3" w:rsidRDefault="00410C93">
      <w:pPr>
        <w:pStyle w:val="Textpoznmkypodiarou"/>
        <w:spacing w:after="0"/>
        <w:ind w:left="142" w:hanging="142"/>
      </w:pPr>
      <w:r>
        <w:rPr>
          <w:rStyle w:val="Odkaznapoznmkupodiarou"/>
        </w:rPr>
        <w:footnoteRef/>
      </w:r>
      <w:r>
        <w:t xml:space="preserve"> United States Government Accountability Office (2023), Fusion Energy: Potentially Transformative Technology Still Faces Fundamental Challenges. </w:t>
      </w:r>
    </w:p>
  </w:footnote>
  <w:footnote w:id="5">
    <w:p w14:paraId="4FF9A95D" w14:textId="77777777" w:rsidR="00586CB3" w:rsidRDefault="00410C93">
      <w:pPr>
        <w:pStyle w:val="Textpoznmkypodiarou"/>
        <w:spacing w:after="0"/>
        <w:rPr>
          <w:i/>
          <w:iCs/>
        </w:rPr>
      </w:pPr>
      <w:r>
        <w:rPr>
          <w:rStyle w:val="Odkaznapoznmkupodiarou"/>
        </w:rPr>
        <w:footnoteRef/>
      </w:r>
      <w:r>
        <w:t xml:space="preserve"> Spherical Insights. </w:t>
      </w:r>
      <w:r>
        <w:rPr>
          <w:i/>
          <w:iCs/>
        </w:rPr>
        <w:t xml:space="preserve">Global Nuclear Fusion Technology Market Insights Forecasts to 2033. </w:t>
      </w:r>
    </w:p>
  </w:footnote>
  <w:footnote w:id="6">
    <w:p w14:paraId="4FF9A95E" w14:textId="77777777" w:rsidR="00586CB3" w:rsidRDefault="00410C93">
      <w:pPr>
        <w:pStyle w:val="Textpoznmkypodiarou"/>
        <w:spacing w:after="0"/>
      </w:pPr>
      <w:r>
        <w:rPr>
          <w:rStyle w:val="Odkaznapoznmkupodiarou"/>
        </w:rPr>
        <w:footnoteRef/>
      </w:r>
      <w:r>
        <w:t xml:space="preserve"> https://fusion-technology-transfer.europa.eu/</w:t>
      </w:r>
    </w:p>
  </w:footnote>
  <w:footnote w:id="7">
    <w:p w14:paraId="4FF9A95F" w14:textId="77777777" w:rsidR="00586CB3" w:rsidRDefault="00410C93">
      <w:pPr>
        <w:pStyle w:val="Textpoznmkypodiarou"/>
        <w:spacing w:after="0"/>
        <w:rPr>
          <w:lang w:val="en-US"/>
        </w:rPr>
      </w:pPr>
      <w:r>
        <w:rPr>
          <w:rStyle w:val="Odkaznapoznmkupodiarou"/>
        </w:rPr>
        <w:footnoteRef/>
      </w:r>
      <w:r>
        <w:t xml:space="preserve"> </w:t>
      </w:r>
      <w:hyperlink r:id="rId1" w:history="1">
        <w:r>
          <w:rPr>
            <w:rStyle w:val="Hypertextovprepojenie"/>
          </w:rPr>
          <w:t>https://www.iter.org/</w:t>
        </w:r>
      </w:hyperlink>
      <w:r>
        <w:t xml:space="preserve"> </w:t>
      </w:r>
    </w:p>
  </w:footnote>
  <w:footnote w:id="8">
    <w:p w14:paraId="4FF9A960" w14:textId="77777777" w:rsidR="00586CB3" w:rsidRDefault="00410C93" w:rsidP="004E10E8">
      <w:pPr>
        <w:pStyle w:val="Textpoznmkypodiarou"/>
        <w:spacing w:after="0"/>
      </w:pPr>
      <w:r>
        <w:rPr>
          <w:rStyle w:val="Odkaznapoznmkupodiarou"/>
        </w:rPr>
        <w:footnoteRef/>
      </w:r>
      <w:r>
        <w:t xml:space="preserve"> IAEA Fusion Outlook 2024 </w:t>
      </w:r>
      <w:hyperlink r:id="rId2" w:history="1">
        <w:r>
          <w:rPr>
            <w:rStyle w:val="Hypertextovprepojenie"/>
          </w:rPr>
          <w:t>https://doi.org/10.61092/iaea.es3t-vz6q</w:t>
        </w:r>
      </w:hyperlink>
    </w:p>
  </w:footnote>
  <w:footnote w:id="9">
    <w:p w14:paraId="4FF9A962" w14:textId="77777777" w:rsidR="00586CB3" w:rsidRDefault="00410C93">
      <w:pPr>
        <w:pStyle w:val="Textpoznmkypodiarou"/>
        <w:spacing w:after="0"/>
        <w:ind w:left="142" w:hanging="142"/>
      </w:pPr>
      <w:r>
        <w:rPr>
          <w:rStyle w:val="Odkaznapoznmkupodiarou"/>
        </w:rPr>
        <w:footnoteRef/>
      </w:r>
      <w:r>
        <w:t xml:space="preserve"> Data from Pitchbook market analysis of the companies operating in the Nuclear Fusion subsegment show 23 companies having head-quarter in US, 9 in Asia, and 4 in EU, out of the 46 companies in the sample.</w:t>
      </w:r>
    </w:p>
  </w:footnote>
  <w:footnote w:id="10">
    <w:p w14:paraId="4FF9A963" w14:textId="77777777" w:rsidR="00586CB3" w:rsidRDefault="00410C93">
      <w:pPr>
        <w:pStyle w:val="Textpoznmkypodiarou"/>
        <w:spacing w:after="0"/>
        <w:ind w:left="0" w:firstLine="0"/>
      </w:pPr>
      <w:r>
        <w:rPr>
          <w:rStyle w:val="Odkaznapoznmkupodiarou"/>
        </w:rPr>
        <w:footnoteRef/>
      </w:r>
      <w:r>
        <w:t xml:space="preserve"> Research institutions like the UK Atomic Energy Authority, Germany’s Max Planck Institute for Plasma Physics, and the Culham Centre for Fusion Energy are advancing fusion science, with the EU as a key contributor to the ITER project, a global effort to develop fusion energy.</w:t>
      </w:r>
    </w:p>
  </w:footnote>
  <w:footnote w:id="11">
    <w:p w14:paraId="4FF9A964" w14:textId="77777777" w:rsidR="00586CB3" w:rsidRDefault="00410C93">
      <w:pPr>
        <w:pStyle w:val="Textpoznmkypodiarou"/>
        <w:spacing w:after="0"/>
        <w:rPr>
          <w:lang w:val="en-US"/>
        </w:rPr>
      </w:pPr>
      <w:r>
        <w:rPr>
          <w:rStyle w:val="Odkaznapoznmkupodiarou"/>
        </w:rPr>
        <w:footnoteRef/>
      </w:r>
      <w:r>
        <w:t xml:space="preserve"> </w:t>
      </w:r>
      <w:r>
        <w:rPr>
          <w:lang w:val="en-US"/>
        </w:rPr>
        <w:t xml:space="preserve">Fusion Industry Association (2023), </w:t>
      </w:r>
      <w:r>
        <w:rPr>
          <w:i/>
          <w:iCs/>
          <w:lang w:val="en-US"/>
        </w:rPr>
        <w:t>The fusion industry supply chain: opportunities and challenges</w:t>
      </w:r>
      <w:r>
        <w:rPr>
          <w:lang w:val="en-US"/>
        </w:rPr>
        <w:t>.</w:t>
      </w:r>
    </w:p>
  </w:footnote>
  <w:footnote w:id="12">
    <w:p w14:paraId="4FF9A965" w14:textId="77777777" w:rsidR="00586CB3" w:rsidRDefault="00410C93">
      <w:pPr>
        <w:pStyle w:val="Textpoznmkypodiarou"/>
        <w:spacing w:after="0"/>
        <w:rPr>
          <w:lang w:val="en-US"/>
        </w:rPr>
      </w:pPr>
      <w:r>
        <w:rPr>
          <w:rStyle w:val="Odkaznapoznmkupodiarou"/>
        </w:rPr>
        <w:footnoteRef/>
      </w:r>
      <w:r>
        <w:t xml:space="preserve"> Fusion Industry Association (2024), </w:t>
      </w:r>
      <w:r>
        <w:rPr>
          <w:i/>
          <w:iCs/>
        </w:rPr>
        <w:t xml:space="preserve">The global fusion industry in 2024. </w:t>
      </w:r>
    </w:p>
  </w:footnote>
  <w:footnote w:id="13">
    <w:p w14:paraId="4FF9A966" w14:textId="77777777" w:rsidR="00586CB3" w:rsidRDefault="00410C93">
      <w:pPr>
        <w:pStyle w:val="Textpoznmkypodiarou"/>
        <w:spacing w:after="0"/>
        <w:rPr>
          <w:lang w:val="en-US"/>
        </w:rPr>
      </w:pPr>
      <w:r>
        <w:rPr>
          <w:rStyle w:val="Odkaznapoznmkupodiarou"/>
        </w:rPr>
        <w:footnoteRef/>
      </w:r>
      <w:r>
        <w:t xml:space="preserve"> </w:t>
      </w:r>
      <w:hyperlink r:id="rId3" w:history="1">
        <w:r>
          <w:rPr>
            <w:rStyle w:val="Hypertextovprepojenie"/>
          </w:rPr>
          <w:t>Euratom Research and Training Programme - European Commission</w:t>
        </w:r>
      </w:hyperlink>
    </w:p>
  </w:footnote>
  <w:footnote w:id="14">
    <w:p w14:paraId="4FF9A967" w14:textId="77777777" w:rsidR="00586CB3" w:rsidRDefault="00410C93">
      <w:pPr>
        <w:pStyle w:val="Textpoznmkypodiarou"/>
        <w:spacing w:after="0"/>
        <w:rPr>
          <w:lang w:val="en-US"/>
        </w:rPr>
      </w:pPr>
      <w:r>
        <w:rPr>
          <w:rStyle w:val="Odkaznapoznmkupodiarou"/>
        </w:rPr>
        <w:footnoteRef/>
      </w:r>
      <w:r>
        <w:t xml:space="preserve"> </w:t>
      </w:r>
      <w:hyperlink r:id="rId4" w:history="1">
        <w:r>
          <w:rPr>
            <w:rStyle w:val="Hypertextovprepojenie"/>
          </w:rPr>
          <w:t>https://fusionforenergy.europa.eu/</w:t>
        </w:r>
      </w:hyperlink>
    </w:p>
  </w:footnote>
  <w:footnote w:id="15">
    <w:p w14:paraId="4FF9A968" w14:textId="77777777" w:rsidR="00586CB3" w:rsidRDefault="00410C93">
      <w:pPr>
        <w:pStyle w:val="Textpoznmkypodiarou"/>
        <w:rPr>
          <w:lang w:val="en-US"/>
        </w:rPr>
      </w:pPr>
      <w:r>
        <w:rPr>
          <w:rStyle w:val="Odkaznapoznmkupodiarou"/>
        </w:rPr>
        <w:footnoteRef/>
      </w:r>
      <w:r>
        <w:t xml:space="preserve"> Nuclear energy for a net zero world – Report IAEA 2021</w:t>
      </w:r>
    </w:p>
  </w:footnote>
  <w:footnote w:id="16">
    <w:p w14:paraId="4FF9A969" w14:textId="77777777" w:rsidR="00586CB3" w:rsidRDefault="00410C93">
      <w:pPr>
        <w:pStyle w:val="Textpoznmkypodiarou"/>
      </w:pPr>
      <w:r>
        <w:rPr>
          <w:rStyle w:val="Odkaznapoznmkupodiarou"/>
        </w:rPr>
        <w:footnoteRef/>
      </w:r>
      <w:r>
        <w:t xml:space="preserve"> </w:t>
      </w:r>
      <w:hyperlink r:id="rId5" w:history="1">
        <w:r>
          <w:rPr>
            <w:rStyle w:val="Hypertextovprepojenie"/>
          </w:rPr>
          <w:t>https://eurohpc-ju.europa.eu/index_en</w:t>
        </w:r>
      </w:hyperlink>
      <w:r>
        <w:t xml:space="preserve"> </w:t>
      </w:r>
    </w:p>
  </w:footnote>
  <w:footnote w:id="17">
    <w:p w14:paraId="4FF9A96A" w14:textId="77777777" w:rsidR="00586CB3" w:rsidRDefault="00410C93">
      <w:pPr>
        <w:pStyle w:val="Textpoznmkypodiarou"/>
        <w:ind w:left="0" w:firstLine="0"/>
        <w:rPr>
          <w:b/>
          <w:bCs/>
          <w:lang w:val="en-US"/>
        </w:rPr>
      </w:pPr>
      <w:r>
        <w:rPr>
          <w:rStyle w:val="Odkaznapoznmkupodiarou"/>
        </w:rPr>
        <w:footnoteRef/>
      </w:r>
      <w:r>
        <w:t xml:space="preserve"> </w:t>
      </w:r>
      <w:r>
        <w:rPr>
          <w:lang w:val="en-US"/>
        </w:rPr>
        <w:t>EU Publication: “</w:t>
      </w:r>
      <w:r>
        <w:rPr>
          <w:i/>
          <w:iCs/>
          <w:lang w:val="en-US"/>
        </w:rPr>
        <w:t>Analysis on a strategic public-private partnership approach to foster innovation in fusion energy</w:t>
      </w:r>
      <w:r>
        <w:rPr>
          <w:lang w:val="en-US"/>
        </w:rPr>
        <w:t>”(</w:t>
      </w:r>
      <w:hyperlink r:id="rId6" w:history="1">
        <w:r>
          <w:rPr>
            <w:rStyle w:val="Hypertextovprepojenie"/>
            <w:lang w:val="en-US"/>
          </w:rPr>
          <w:t>https://op.europa.eu/en/publication-detail/-/publication/02823529-dc31-11ee-b9d9-01aa75ed71a1/language-en</w:t>
        </w:r>
      </w:hyperlink>
      <w:r>
        <w:rPr>
          <w:lang w:val="en-US"/>
        </w:rPr>
        <w:t>)</w:t>
      </w:r>
    </w:p>
    <w:p w14:paraId="4FF9A96B" w14:textId="77777777" w:rsidR="00586CB3" w:rsidRDefault="00586CB3">
      <w:pPr>
        <w:pStyle w:val="Textpoznmkypodiarou"/>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DE3380"/>
    <w:lvl w:ilvl="0">
      <w:start w:val="1"/>
      <w:numFmt w:val="decimal"/>
      <w:pStyle w:val="slovanzoznam5"/>
      <w:lvlText w:val="%1."/>
      <w:lvlJc w:val="left"/>
      <w:pPr>
        <w:tabs>
          <w:tab w:val="num" w:pos="1492"/>
        </w:tabs>
        <w:ind w:left="1492" w:hanging="360"/>
      </w:pPr>
    </w:lvl>
  </w:abstractNum>
  <w:abstractNum w:abstractNumId="1" w15:restartNumberingAfterBreak="0">
    <w:nsid w:val="FFFFFF80"/>
    <w:multiLevelType w:val="singleLevel"/>
    <w:tmpl w:val="F8F20B20"/>
    <w:lvl w:ilvl="0">
      <w:start w:val="1"/>
      <w:numFmt w:val="bullet"/>
      <w:pStyle w:val="Zoznamsodrkami5"/>
      <w:lvlText w:val=""/>
      <w:lvlJc w:val="left"/>
      <w:pPr>
        <w:tabs>
          <w:tab w:val="num" w:pos="1492"/>
        </w:tabs>
        <w:ind w:left="1492" w:hanging="360"/>
      </w:pPr>
      <w:rPr>
        <w:rFonts w:ascii="Symbol" w:hAnsi="Symbol" w:hint="default"/>
      </w:rPr>
    </w:lvl>
  </w:abstractNum>
  <w:abstractNum w:abstractNumId="2" w15:restartNumberingAfterBreak="0">
    <w:nsid w:val="0A2900F7"/>
    <w:multiLevelType w:val="multilevel"/>
    <w:tmpl w:val="63BEF5B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CBB26A3"/>
    <w:multiLevelType w:val="hybridMultilevel"/>
    <w:tmpl w:val="9830F584"/>
    <w:lvl w:ilvl="0" w:tplc="04100003">
      <w:start w:val="1"/>
      <w:numFmt w:val="bullet"/>
      <w:lvlText w:val="o"/>
      <w:lvlJc w:val="left"/>
      <w:pPr>
        <w:ind w:left="720" w:hanging="360"/>
      </w:pPr>
      <w:rPr>
        <w:rFonts w:ascii="Courier New" w:hAnsi="Courier New" w:cs="Courier New" w:hint="default"/>
      </w:rPr>
    </w:lvl>
    <w:lvl w:ilvl="1" w:tplc="0410000F">
      <w:start w:val="1"/>
      <w:numFmt w:val="decimal"/>
      <w:lvlText w:val="%2."/>
      <w:lvlJc w:val="left"/>
      <w:pPr>
        <w:ind w:left="720" w:hanging="360"/>
      </w:p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EE51C4B"/>
    <w:multiLevelType w:val="hybridMultilevel"/>
    <w:tmpl w:val="D7BCD08C"/>
    <w:lvl w:ilvl="0" w:tplc="04100003">
      <w:start w:val="1"/>
      <w:numFmt w:val="bullet"/>
      <w:lvlText w:val="o"/>
      <w:lvlJc w:val="left"/>
      <w:pPr>
        <w:ind w:left="720" w:hanging="360"/>
      </w:pPr>
      <w:rPr>
        <w:rFonts w:ascii="Courier New" w:hAnsi="Courier New" w:cs="Courier New" w:hint="default"/>
      </w:rPr>
    </w:lvl>
    <w:lvl w:ilvl="1" w:tplc="FFFFFFFF">
      <w:start w:val="1"/>
      <w:numFmt w:val="decimal"/>
      <w:lvlText w:val="%2."/>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EFB7115"/>
    <w:multiLevelType w:val="multilevel"/>
    <w:tmpl w:val="8536DEE4"/>
    <w:name w:val="ListNumber3Numbering"/>
    <w:lvl w:ilvl="0">
      <w:start w:val="1"/>
      <w:numFmt w:val="decimal"/>
      <w:pStyle w:val="slovanzoznam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0B7201"/>
    <w:multiLevelType w:val="multilevel"/>
    <w:tmpl w:val="4FF868D2"/>
    <w:name w:val="ListNumberNumbering"/>
    <w:lvl w:ilvl="0">
      <w:start w:val="1"/>
      <w:numFmt w:val="decimal"/>
      <w:pStyle w:val="slovanzoznam"/>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20B8345"/>
    <w:multiLevelType w:val="multilevel"/>
    <w:tmpl w:val="A156FCEE"/>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262685D"/>
    <w:multiLevelType w:val="multilevel"/>
    <w:tmpl w:val="E3C0CAA0"/>
    <w:name w:val="ListBullet4Numbering"/>
    <w:lvl w:ilvl="0">
      <w:start w:val="1"/>
      <w:numFmt w:val="bullet"/>
      <w:pStyle w:val="Zoznamsodrkami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4244D33"/>
    <w:multiLevelType w:val="hybridMultilevel"/>
    <w:tmpl w:val="02584386"/>
    <w:lvl w:ilvl="0" w:tplc="04100003">
      <w:start w:val="1"/>
      <w:numFmt w:val="bullet"/>
      <w:lvlText w:val="o"/>
      <w:lvlJc w:val="left"/>
      <w:pPr>
        <w:ind w:left="778" w:hanging="360"/>
      </w:pPr>
      <w:rPr>
        <w:rFonts w:ascii="Courier New" w:hAnsi="Courier New" w:cs="Courier New" w:hint="default"/>
      </w:rPr>
    </w:lvl>
    <w:lvl w:ilvl="1" w:tplc="FFFFFFFF" w:tentative="1">
      <w:start w:val="1"/>
      <w:numFmt w:val="bullet"/>
      <w:lvlText w:val="o"/>
      <w:lvlJc w:val="left"/>
      <w:pPr>
        <w:ind w:left="1498" w:hanging="360"/>
      </w:pPr>
      <w:rPr>
        <w:rFonts w:ascii="Courier New" w:hAnsi="Courier New" w:cs="Courier New" w:hint="default"/>
      </w:rPr>
    </w:lvl>
    <w:lvl w:ilvl="2" w:tplc="FFFFFFFF" w:tentative="1">
      <w:start w:val="1"/>
      <w:numFmt w:val="bullet"/>
      <w:lvlText w:val=""/>
      <w:lvlJc w:val="left"/>
      <w:pPr>
        <w:ind w:left="2218" w:hanging="360"/>
      </w:pPr>
      <w:rPr>
        <w:rFonts w:ascii="Wingdings" w:hAnsi="Wingdings" w:hint="default"/>
      </w:rPr>
    </w:lvl>
    <w:lvl w:ilvl="3" w:tplc="FFFFFFFF" w:tentative="1">
      <w:start w:val="1"/>
      <w:numFmt w:val="bullet"/>
      <w:lvlText w:val=""/>
      <w:lvlJc w:val="left"/>
      <w:pPr>
        <w:ind w:left="2938" w:hanging="360"/>
      </w:pPr>
      <w:rPr>
        <w:rFonts w:ascii="Symbol" w:hAnsi="Symbol" w:hint="default"/>
      </w:rPr>
    </w:lvl>
    <w:lvl w:ilvl="4" w:tplc="FFFFFFFF" w:tentative="1">
      <w:start w:val="1"/>
      <w:numFmt w:val="bullet"/>
      <w:lvlText w:val="o"/>
      <w:lvlJc w:val="left"/>
      <w:pPr>
        <w:ind w:left="3658" w:hanging="360"/>
      </w:pPr>
      <w:rPr>
        <w:rFonts w:ascii="Courier New" w:hAnsi="Courier New" w:cs="Courier New" w:hint="default"/>
      </w:rPr>
    </w:lvl>
    <w:lvl w:ilvl="5" w:tplc="FFFFFFFF" w:tentative="1">
      <w:start w:val="1"/>
      <w:numFmt w:val="bullet"/>
      <w:lvlText w:val=""/>
      <w:lvlJc w:val="left"/>
      <w:pPr>
        <w:ind w:left="4378" w:hanging="360"/>
      </w:pPr>
      <w:rPr>
        <w:rFonts w:ascii="Wingdings" w:hAnsi="Wingdings" w:hint="default"/>
      </w:rPr>
    </w:lvl>
    <w:lvl w:ilvl="6" w:tplc="FFFFFFFF" w:tentative="1">
      <w:start w:val="1"/>
      <w:numFmt w:val="bullet"/>
      <w:lvlText w:val=""/>
      <w:lvlJc w:val="left"/>
      <w:pPr>
        <w:ind w:left="5098" w:hanging="360"/>
      </w:pPr>
      <w:rPr>
        <w:rFonts w:ascii="Symbol" w:hAnsi="Symbol" w:hint="default"/>
      </w:rPr>
    </w:lvl>
    <w:lvl w:ilvl="7" w:tplc="FFFFFFFF" w:tentative="1">
      <w:start w:val="1"/>
      <w:numFmt w:val="bullet"/>
      <w:lvlText w:val="o"/>
      <w:lvlJc w:val="left"/>
      <w:pPr>
        <w:ind w:left="5818" w:hanging="360"/>
      </w:pPr>
      <w:rPr>
        <w:rFonts w:ascii="Courier New" w:hAnsi="Courier New" w:cs="Courier New" w:hint="default"/>
      </w:rPr>
    </w:lvl>
    <w:lvl w:ilvl="8" w:tplc="FFFFFFFF" w:tentative="1">
      <w:start w:val="1"/>
      <w:numFmt w:val="bullet"/>
      <w:lvlText w:val=""/>
      <w:lvlJc w:val="left"/>
      <w:pPr>
        <w:ind w:left="6538" w:hanging="360"/>
      </w:pPr>
      <w:rPr>
        <w:rFonts w:ascii="Wingdings" w:hAnsi="Wingdings" w:hint="default"/>
      </w:rPr>
    </w:lvl>
  </w:abstractNum>
  <w:abstractNum w:abstractNumId="10" w15:restartNumberingAfterBreak="0">
    <w:nsid w:val="143D0A16"/>
    <w:multiLevelType w:val="multilevel"/>
    <w:tmpl w:val="29224A48"/>
    <w:name w:val="ListBullet3Numbering"/>
    <w:lvl w:ilvl="0">
      <w:start w:val="1"/>
      <w:numFmt w:val="bullet"/>
      <w:pStyle w:val="Zoznamsodrkami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72F0AC5"/>
    <w:multiLevelType w:val="multilevel"/>
    <w:tmpl w:val="6D0AB796"/>
    <w:name w:val="ListNumber2Numbering"/>
    <w:lvl w:ilvl="0">
      <w:start w:val="1"/>
      <w:numFmt w:val="decimal"/>
      <w:pStyle w:val="slovanzoznam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18756A57"/>
    <w:multiLevelType w:val="multilevel"/>
    <w:tmpl w:val="91481E54"/>
    <w:lvl w:ilvl="0">
      <w:start w:val="6"/>
      <w:numFmt w:val="decimal"/>
      <w:lvlText w:val="%1."/>
      <w:lvlJc w:val="left"/>
      <w:pPr>
        <w:ind w:left="720" w:hanging="360"/>
      </w:pPr>
      <w:rPr>
        <w:rFonts w:hint="default"/>
      </w:rPr>
    </w:lvl>
    <w:lvl w:ilvl="1">
      <w:start w:val="1"/>
      <w:numFmt w:val="decimal"/>
      <w:isLgl/>
      <w:lvlText w:val="%1.%2."/>
      <w:lvlJc w:val="left"/>
      <w:pPr>
        <w:ind w:left="842" w:hanging="360"/>
      </w:pPr>
      <w:rPr>
        <w:rFonts w:hint="default"/>
      </w:rPr>
    </w:lvl>
    <w:lvl w:ilvl="2">
      <w:start w:val="1"/>
      <w:numFmt w:val="decimal"/>
      <w:isLgl/>
      <w:lvlText w:val="%1.%2.%3."/>
      <w:lvlJc w:val="left"/>
      <w:pPr>
        <w:ind w:left="1324" w:hanging="720"/>
      </w:pPr>
      <w:rPr>
        <w:rFonts w:hint="default"/>
      </w:rPr>
    </w:lvl>
    <w:lvl w:ilvl="3">
      <w:start w:val="1"/>
      <w:numFmt w:val="decimal"/>
      <w:isLgl/>
      <w:lvlText w:val="%1.%2.%3.%4."/>
      <w:lvlJc w:val="left"/>
      <w:pPr>
        <w:ind w:left="1446" w:hanging="720"/>
      </w:pPr>
      <w:rPr>
        <w:rFonts w:hint="default"/>
      </w:rPr>
    </w:lvl>
    <w:lvl w:ilvl="4">
      <w:start w:val="1"/>
      <w:numFmt w:val="decimal"/>
      <w:isLgl/>
      <w:lvlText w:val="%1.%2.%3.%4.%5."/>
      <w:lvlJc w:val="left"/>
      <w:pPr>
        <w:ind w:left="1928" w:hanging="1080"/>
      </w:pPr>
      <w:rPr>
        <w:rFonts w:hint="default"/>
      </w:rPr>
    </w:lvl>
    <w:lvl w:ilvl="5">
      <w:start w:val="1"/>
      <w:numFmt w:val="decimal"/>
      <w:isLgl/>
      <w:lvlText w:val="%1.%2.%3.%4.%5.%6."/>
      <w:lvlJc w:val="left"/>
      <w:pPr>
        <w:ind w:left="2050" w:hanging="1080"/>
      </w:pPr>
      <w:rPr>
        <w:rFonts w:hint="default"/>
      </w:rPr>
    </w:lvl>
    <w:lvl w:ilvl="6">
      <w:start w:val="1"/>
      <w:numFmt w:val="decimal"/>
      <w:isLgl/>
      <w:lvlText w:val="%1.%2.%3.%4.%5.%6.%7."/>
      <w:lvlJc w:val="left"/>
      <w:pPr>
        <w:ind w:left="2532" w:hanging="1440"/>
      </w:pPr>
      <w:rPr>
        <w:rFonts w:hint="default"/>
      </w:rPr>
    </w:lvl>
    <w:lvl w:ilvl="7">
      <w:start w:val="1"/>
      <w:numFmt w:val="decimal"/>
      <w:isLgl/>
      <w:lvlText w:val="%1.%2.%3.%4.%5.%6.%7.%8."/>
      <w:lvlJc w:val="left"/>
      <w:pPr>
        <w:ind w:left="2654" w:hanging="1440"/>
      </w:pPr>
      <w:rPr>
        <w:rFonts w:hint="default"/>
      </w:rPr>
    </w:lvl>
    <w:lvl w:ilvl="8">
      <w:start w:val="1"/>
      <w:numFmt w:val="decimal"/>
      <w:isLgl/>
      <w:lvlText w:val="%1.%2.%3.%4.%5.%6.%7.%8.%9."/>
      <w:lvlJc w:val="left"/>
      <w:pPr>
        <w:ind w:left="3136" w:hanging="1800"/>
      </w:pPr>
      <w:rPr>
        <w:rFonts w:hint="default"/>
      </w:rPr>
    </w:lvl>
  </w:abstractNum>
  <w:abstractNum w:abstractNumId="13" w15:restartNumberingAfterBreak="0">
    <w:nsid w:val="1C7B624F"/>
    <w:multiLevelType w:val="multilevel"/>
    <w:tmpl w:val="5E0A17D8"/>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C8DFDF8"/>
    <w:multiLevelType w:val="multilevel"/>
    <w:tmpl w:val="1D465A64"/>
    <w:name w:val="ListBullet2Numbering"/>
    <w:lvl w:ilvl="0">
      <w:start w:val="1"/>
      <w:numFmt w:val="bullet"/>
      <w:pStyle w:val="Zoznamsodrkami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2D293CE3"/>
    <w:multiLevelType w:val="multilevel"/>
    <w:tmpl w:val="0AC0C0D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2D293CF4"/>
    <w:multiLevelType w:val="multilevel"/>
    <w:tmpl w:val="C304E792"/>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6324F1E"/>
    <w:multiLevelType w:val="multilevel"/>
    <w:tmpl w:val="127EBD9A"/>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7CB1E1C"/>
    <w:multiLevelType w:val="multilevel"/>
    <w:tmpl w:val="AC84F03A"/>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A7730C4"/>
    <w:multiLevelType w:val="multilevel"/>
    <w:tmpl w:val="D0DACB3E"/>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3AB1698C"/>
    <w:multiLevelType w:val="hybridMultilevel"/>
    <w:tmpl w:val="F4C6D58E"/>
    <w:lvl w:ilvl="0" w:tplc="0410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29E662A"/>
    <w:multiLevelType w:val="multilevel"/>
    <w:tmpl w:val="812E588C"/>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4E1A63DF"/>
    <w:multiLevelType w:val="multilevel"/>
    <w:tmpl w:val="FB660194"/>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4E1A982C"/>
    <w:multiLevelType w:val="multilevel"/>
    <w:tmpl w:val="4ADC3948"/>
    <w:name w:val="ListBulletNumbering"/>
    <w:lvl w:ilvl="0">
      <w:start w:val="1"/>
      <w:numFmt w:val="bullet"/>
      <w:pStyle w:val="Zoznamsodrkami"/>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5072619B"/>
    <w:multiLevelType w:val="multilevel"/>
    <w:tmpl w:val="DF6A90E6"/>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50729B52"/>
    <w:multiLevelType w:val="multilevel"/>
    <w:tmpl w:val="CAD85DF6"/>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58EB6C1B"/>
    <w:multiLevelType w:val="hybridMultilevel"/>
    <w:tmpl w:val="686EA994"/>
    <w:lvl w:ilvl="0" w:tplc="04100003">
      <w:start w:val="1"/>
      <w:numFmt w:val="bullet"/>
      <w:lvlText w:val="o"/>
      <w:lvlJc w:val="left"/>
      <w:pPr>
        <w:ind w:left="720" w:hanging="360"/>
      </w:pPr>
      <w:rPr>
        <w:rFonts w:ascii="Courier New" w:hAnsi="Courier New" w:cs="Courier New" w:hint="default"/>
      </w:rPr>
    </w:lvl>
    <w:lvl w:ilvl="1" w:tplc="FFFFFFFF">
      <w:start w:val="1"/>
      <w:numFmt w:val="decimal"/>
      <w:lvlText w:val="%2."/>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C6961DD"/>
    <w:multiLevelType w:val="hybridMultilevel"/>
    <w:tmpl w:val="47E483E2"/>
    <w:lvl w:ilvl="0" w:tplc="04100003">
      <w:start w:val="1"/>
      <w:numFmt w:val="bullet"/>
      <w:lvlText w:val="o"/>
      <w:lvlJc w:val="left"/>
      <w:pPr>
        <w:ind w:left="1389" w:hanging="360"/>
      </w:pPr>
      <w:rPr>
        <w:rFonts w:ascii="Courier New" w:hAnsi="Courier New" w:cs="Courier New" w:hint="default"/>
      </w:rPr>
    </w:lvl>
    <w:lvl w:ilvl="1" w:tplc="04100003" w:tentative="1">
      <w:start w:val="1"/>
      <w:numFmt w:val="bullet"/>
      <w:lvlText w:val="o"/>
      <w:lvlJc w:val="left"/>
      <w:pPr>
        <w:ind w:left="2109" w:hanging="360"/>
      </w:pPr>
      <w:rPr>
        <w:rFonts w:ascii="Courier New" w:hAnsi="Courier New" w:cs="Courier New" w:hint="default"/>
      </w:rPr>
    </w:lvl>
    <w:lvl w:ilvl="2" w:tplc="04100005" w:tentative="1">
      <w:start w:val="1"/>
      <w:numFmt w:val="bullet"/>
      <w:lvlText w:val=""/>
      <w:lvlJc w:val="left"/>
      <w:pPr>
        <w:ind w:left="2829" w:hanging="360"/>
      </w:pPr>
      <w:rPr>
        <w:rFonts w:ascii="Wingdings" w:hAnsi="Wingdings" w:hint="default"/>
      </w:rPr>
    </w:lvl>
    <w:lvl w:ilvl="3" w:tplc="04100001" w:tentative="1">
      <w:start w:val="1"/>
      <w:numFmt w:val="bullet"/>
      <w:lvlText w:val=""/>
      <w:lvlJc w:val="left"/>
      <w:pPr>
        <w:ind w:left="3549" w:hanging="360"/>
      </w:pPr>
      <w:rPr>
        <w:rFonts w:ascii="Symbol" w:hAnsi="Symbol" w:hint="default"/>
      </w:rPr>
    </w:lvl>
    <w:lvl w:ilvl="4" w:tplc="04100003" w:tentative="1">
      <w:start w:val="1"/>
      <w:numFmt w:val="bullet"/>
      <w:lvlText w:val="o"/>
      <w:lvlJc w:val="left"/>
      <w:pPr>
        <w:ind w:left="4269" w:hanging="360"/>
      </w:pPr>
      <w:rPr>
        <w:rFonts w:ascii="Courier New" w:hAnsi="Courier New" w:cs="Courier New" w:hint="default"/>
      </w:rPr>
    </w:lvl>
    <w:lvl w:ilvl="5" w:tplc="04100005" w:tentative="1">
      <w:start w:val="1"/>
      <w:numFmt w:val="bullet"/>
      <w:lvlText w:val=""/>
      <w:lvlJc w:val="left"/>
      <w:pPr>
        <w:ind w:left="4989" w:hanging="360"/>
      </w:pPr>
      <w:rPr>
        <w:rFonts w:ascii="Wingdings" w:hAnsi="Wingdings" w:hint="default"/>
      </w:rPr>
    </w:lvl>
    <w:lvl w:ilvl="6" w:tplc="04100001" w:tentative="1">
      <w:start w:val="1"/>
      <w:numFmt w:val="bullet"/>
      <w:lvlText w:val=""/>
      <w:lvlJc w:val="left"/>
      <w:pPr>
        <w:ind w:left="5709" w:hanging="360"/>
      </w:pPr>
      <w:rPr>
        <w:rFonts w:ascii="Symbol" w:hAnsi="Symbol" w:hint="default"/>
      </w:rPr>
    </w:lvl>
    <w:lvl w:ilvl="7" w:tplc="04100003" w:tentative="1">
      <w:start w:val="1"/>
      <w:numFmt w:val="bullet"/>
      <w:lvlText w:val="o"/>
      <w:lvlJc w:val="left"/>
      <w:pPr>
        <w:ind w:left="6429" w:hanging="360"/>
      </w:pPr>
      <w:rPr>
        <w:rFonts w:ascii="Courier New" w:hAnsi="Courier New" w:cs="Courier New" w:hint="default"/>
      </w:rPr>
    </w:lvl>
    <w:lvl w:ilvl="8" w:tplc="04100005" w:tentative="1">
      <w:start w:val="1"/>
      <w:numFmt w:val="bullet"/>
      <w:lvlText w:val=""/>
      <w:lvlJc w:val="left"/>
      <w:pPr>
        <w:ind w:left="7149" w:hanging="360"/>
      </w:pPr>
      <w:rPr>
        <w:rFonts w:ascii="Wingdings" w:hAnsi="Wingdings" w:hint="default"/>
      </w:rPr>
    </w:lvl>
  </w:abstractNum>
  <w:abstractNum w:abstractNumId="28" w15:restartNumberingAfterBreak="0">
    <w:nsid w:val="63906450"/>
    <w:multiLevelType w:val="hybridMultilevel"/>
    <w:tmpl w:val="5822671E"/>
    <w:lvl w:ilvl="0" w:tplc="04100003">
      <w:start w:val="1"/>
      <w:numFmt w:val="bullet"/>
      <w:lvlText w:val="o"/>
      <w:lvlJc w:val="left"/>
      <w:pPr>
        <w:ind w:left="1451" w:hanging="360"/>
      </w:pPr>
      <w:rPr>
        <w:rFonts w:ascii="Courier New" w:hAnsi="Courier New" w:cs="Courier New" w:hint="default"/>
      </w:rPr>
    </w:lvl>
    <w:lvl w:ilvl="1" w:tplc="04100003" w:tentative="1">
      <w:start w:val="1"/>
      <w:numFmt w:val="bullet"/>
      <w:lvlText w:val="o"/>
      <w:lvlJc w:val="left"/>
      <w:pPr>
        <w:ind w:left="2171" w:hanging="360"/>
      </w:pPr>
      <w:rPr>
        <w:rFonts w:ascii="Courier New" w:hAnsi="Courier New" w:cs="Courier New" w:hint="default"/>
      </w:rPr>
    </w:lvl>
    <w:lvl w:ilvl="2" w:tplc="04100005" w:tentative="1">
      <w:start w:val="1"/>
      <w:numFmt w:val="bullet"/>
      <w:lvlText w:val=""/>
      <w:lvlJc w:val="left"/>
      <w:pPr>
        <w:ind w:left="2891" w:hanging="360"/>
      </w:pPr>
      <w:rPr>
        <w:rFonts w:ascii="Wingdings" w:hAnsi="Wingdings" w:hint="default"/>
      </w:rPr>
    </w:lvl>
    <w:lvl w:ilvl="3" w:tplc="04100001" w:tentative="1">
      <w:start w:val="1"/>
      <w:numFmt w:val="bullet"/>
      <w:lvlText w:val=""/>
      <w:lvlJc w:val="left"/>
      <w:pPr>
        <w:ind w:left="3611" w:hanging="360"/>
      </w:pPr>
      <w:rPr>
        <w:rFonts w:ascii="Symbol" w:hAnsi="Symbol" w:hint="default"/>
      </w:rPr>
    </w:lvl>
    <w:lvl w:ilvl="4" w:tplc="04100003" w:tentative="1">
      <w:start w:val="1"/>
      <w:numFmt w:val="bullet"/>
      <w:lvlText w:val="o"/>
      <w:lvlJc w:val="left"/>
      <w:pPr>
        <w:ind w:left="4331" w:hanging="360"/>
      </w:pPr>
      <w:rPr>
        <w:rFonts w:ascii="Courier New" w:hAnsi="Courier New" w:cs="Courier New" w:hint="default"/>
      </w:rPr>
    </w:lvl>
    <w:lvl w:ilvl="5" w:tplc="04100005" w:tentative="1">
      <w:start w:val="1"/>
      <w:numFmt w:val="bullet"/>
      <w:lvlText w:val=""/>
      <w:lvlJc w:val="left"/>
      <w:pPr>
        <w:ind w:left="5051" w:hanging="360"/>
      </w:pPr>
      <w:rPr>
        <w:rFonts w:ascii="Wingdings" w:hAnsi="Wingdings" w:hint="default"/>
      </w:rPr>
    </w:lvl>
    <w:lvl w:ilvl="6" w:tplc="04100001" w:tentative="1">
      <w:start w:val="1"/>
      <w:numFmt w:val="bullet"/>
      <w:lvlText w:val=""/>
      <w:lvlJc w:val="left"/>
      <w:pPr>
        <w:ind w:left="5771" w:hanging="360"/>
      </w:pPr>
      <w:rPr>
        <w:rFonts w:ascii="Symbol" w:hAnsi="Symbol" w:hint="default"/>
      </w:rPr>
    </w:lvl>
    <w:lvl w:ilvl="7" w:tplc="04100003" w:tentative="1">
      <w:start w:val="1"/>
      <w:numFmt w:val="bullet"/>
      <w:lvlText w:val="o"/>
      <w:lvlJc w:val="left"/>
      <w:pPr>
        <w:ind w:left="6491" w:hanging="360"/>
      </w:pPr>
      <w:rPr>
        <w:rFonts w:ascii="Courier New" w:hAnsi="Courier New" w:cs="Courier New" w:hint="default"/>
      </w:rPr>
    </w:lvl>
    <w:lvl w:ilvl="8" w:tplc="04100005" w:tentative="1">
      <w:start w:val="1"/>
      <w:numFmt w:val="bullet"/>
      <w:lvlText w:val=""/>
      <w:lvlJc w:val="left"/>
      <w:pPr>
        <w:ind w:left="7211" w:hanging="360"/>
      </w:pPr>
      <w:rPr>
        <w:rFonts w:ascii="Wingdings" w:hAnsi="Wingdings" w:hint="default"/>
      </w:rPr>
    </w:lvl>
  </w:abstractNum>
  <w:abstractNum w:abstractNumId="29" w15:restartNumberingAfterBreak="0">
    <w:nsid w:val="6977472E"/>
    <w:multiLevelType w:val="multilevel"/>
    <w:tmpl w:val="D65AFB72"/>
    <w:name w:val="ListNumber4Numbering"/>
    <w:lvl w:ilvl="0">
      <w:start w:val="1"/>
      <w:numFmt w:val="decimal"/>
      <w:pStyle w:val="slovanzoznam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77A074A0"/>
    <w:multiLevelType w:val="hybridMultilevel"/>
    <w:tmpl w:val="F8149828"/>
    <w:lvl w:ilvl="0" w:tplc="FFFFFFFF">
      <w:numFmt w:val="bullet"/>
      <w:lvlText w:val="-"/>
      <w:lvlJc w:val="left"/>
      <w:pPr>
        <w:ind w:left="720" w:hanging="360"/>
      </w:pPr>
      <w:rPr>
        <w:rFonts w:ascii="Times New Roman" w:eastAsia="Times New Roman" w:hAnsi="Times New Roman" w:cs="Times New Roman" w:hint="default"/>
      </w:rPr>
    </w:lvl>
    <w:lvl w:ilvl="1" w:tplc="95BE20F0">
      <w:numFmt w:val="bullet"/>
      <w:lvlText w:val="-"/>
      <w:lvlJc w:val="left"/>
      <w:pPr>
        <w:ind w:left="720" w:hanging="360"/>
      </w:pPr>
      <w:rPr>
        <w:rFonts w:ascii="Times New Roman" w:eastAsia="Times New Roman" w:hAnsi="Times New Roman" w:cs="Times New Roman"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C65145E"/>
    <w:multiLevelType w:val="multilevel"/>
    <w:tmpl w:val="C2803D46"/>
    <w:lvl w:ilvl="0">
      <w:start w:val="1"/>
      <w:numFmt w:val="decimal"/>
      <w:pStyle w:val="Nadpis1"/>
      <w:lvlText w:val="%1."/>
      <w:lvlJc w:val="left"/>
      <w:pPr>
        <w:tabs>
          <w:tab w:val="num" w:pos="482"/>
        </w:tabs>
        <w:ind w:left="482" w:hanging="482"/>
      </w:pPr>
      <w:rPr>
        <w:rFonts w:hint="default"/>
      </w:rPr>
    </w:lvl>
    <w:lvl w:ilvl="1">
      <w:start w:val="1"/>
      <w:numFmt w:val="decimal"/>
      <w:pStyle w:val="Nadpis2"/>
      <w:lvlText w:val="%1.%2."/>
      <w:lvlJc w:val="left"/>
      <w:pPr>
        <w:tabs>
          <w:tab w:val="num" w:pos="1077"/>
        </w:tabs>
        <w:ind w:left="1077" w:hanging="595"/>
      </w:pPr>
      <w:rPr>
        <w:rFonts w:hint="default"/>
      </w:rPr>
    </w:lvl>
    <w:lvl w:ilvl="2">
      <w:start w:val="1"/>
      <w:numFmt w:val="decimal"/>
      <w:pStyle w:val="Nadpis3"/>
      <w:lvlText w:val="%1.%2.%3."/>
      <w:lvlJc w:val="left"/>
      <w:pPr>
        <w:tabs>
          <w:tab w:val="num" w:pos="1922"/>
        </w:tabs>
        <w:ind w:left="1922" w:hanging="845"/>
      </w:pPr>
      <w:rPr>
        <w:rFonts w:hint="default"/>
      </w:rPr>
    </w:lvl>
    <w:lvl w:ilvl="3">
      <w:start w:val="1"/>
      <w:numFmt w:val="decimal"/>
      <w:pStyle w:val="Nadpis4"/>
      <w:lvlText w:val="%1.%2.%3.%4."/>
      <w:lvlJc w:val="left"/>
      <w:pPr>
        <w:tabs>
          <w:tab w:val="num" w:pos="2880"/>
        </w:tabs>
        <w:ind w:left="2880" w:hanging="958"/>
      </w:pPr>
      <w:rPr>
        <w:rFonts w:hint="default"/>
      </w:rPr>
    </w:lvl>
    <w:lvl w:ilvl="4">
      <w:start w:val="1"/>
      <w:numFmt w:val="decimal"/>
      <w:pStyle w:val="Nadpis5"/>
      <w:lvlText w:val="%1.%2.%3.%4.%5."/>
      <w:lvlJc w:val="left"/>
      <w:pPr>
        <w:tabs>
          <w:tab w:val="num" w:pos="2880"/>
        </w:tabs>
        <w:ind w:left="3838" w:hanging="958"/>
      </w:pPr>
      <w:rPr>
        <w:rFonts w:hint="default"/>
      </w:rPr>
    </w:lvl>
    <w:lvl w:ilvl="5">
      <w:start w:val="1"/>
      <w:numFmt w:val="decimal"/>
      <w:pStyle w:val="Nadpis6"/>
      <w:lvlText w:val="%1.%2.%3.%4.%5.%6."/>
      <w:lvlJc w:val="left"/>
      <w:pPr>
        <w:tabs>
          <w:tab w:val="num" w:pos="2880"/>
        </w:tabs>
        <w:ind w:left="3838" w:hanging="958"/>
      </w:pPr>
      <w:rPr>
        <w:rFonts w:hint="default"/>
      </w:rPr>
    </w:lvl>
    <w:lvl w:ilvl="6">
      <w:start w:val="1"/>
      <w:numFmt w:val="decimal"/>
      <w:pStyle w:val="Nadpis7"/>
      <w:lvlText w:val="%1.%2.%3.%4.%5.%6.%7."/>
      <w:lvlJc w:val="left"/>
      <w:pPr>
        <w:tabs>
          <w:tab w:val="num" w:pos="2880"/>
        </w:tabs>
        <w:ind w:left="3838" w:hanging="958"/>
      </w:pPr>
      <w:rPr>
        <w:rFonts w:hint="default"/>
      </w:rPr>
    </w:lvl>
    <w:lvl w:ilvl="7">
      <w:start w:val="1"/>
      <w:numFmt w:val="decimal"/>
      <w:pStyle w:val="Nadpis8"/>
      <w:lvlText w:val="%1.%2.%3.%4.%5.%6.%7.%8."/>
      <w:lvlJc w:val="left"/>
      <w:pPr>
        <w:tabs>
          <w:tab w:val="num" w:pos="2880"/>
        </w:tabs>
        <w:ind w:left="3838" w:hanging="958"/>
      </w:pPr>
      <w:rPr>
        <w:rFonts w:hint="default"/>
      </w:rPr>
    </w:lvl>
    <w:lvl w:ilvl="8">
      <w:start w:val="1"/>
      <w:numFmt w:val="decimal"/>
      <w:pStyle w:val="Nadpis9"/>
      <w:lvlText w:val="%1.%2.%3.%4.%5.%6.%7.%8.%9."/>
      <w:lvlJc w:val="left"/>
      <w:pPr>
        <w:tabs>
          <w:tab w:val="num" w:pos="2880"/>
        </w:tabs>
        <w:ind w:left="3838" w:hanging="958"/>
      </w:pPr>
      <w:rPr>
        <w:rFonts w:hint="default"/>
      </w:rPr>
    </w:lvl>
  </w:abstractNum>
  <w:abstractNum w:abstractNumId="32"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969700549">
    <w:abstractNumId w:val="2"/>
  </w:num>
  <w:num w:numId="2" w16cid:durableId="226845015">
    <w:abstractNumId w:val="17"/>
  </w:num>
  <w:num w:numId="3" w16cid:durableId="1776628010">
    <w:abstractNumId w:val="13"/>
  </w:num>
  <w:num w:numId="4" w16cid:durableId="595478082">
    <w:abstractNumId w:val="18"/>
  </w:num>
  <w:num w:numId="5" w16cid:durableId="1801457422">
    <w:abstractNumId w:val="24"/>
  </w:num>
  <w:num w:numId="6" w16cid:durableId="2033459493">
    <w:abstractNumId w:val="29"/>
  </w:num>
  <w:num w:numId="7" w16cid:durableId="796877874">
    <w:abstractNumId w:val="5"/>
  </w:num>
  <w:num w:numId="8" w16cid:durableId="1740052532">
    <w:abstractNumId w:val="11"/>
  </w:num>
  <w:num w:numId="9" w16cid:durableId="2083016429">
    <w:abstractNumId w:val="21"/>
  </w:num>
  <w:num w:numId="10" w16cid:durableId="139154149">
    <w:abstractNumId w:val="6"/>
  </w:num>
  <w:num w:numId="11" w16cid:durableId="1290552566">
    <w:abstractNumId w:val="8"/>
  </w:num>
  <w:num w:numId="12" w16cid:durableId="161705342">
    <w:abstractNumId w:val="10"/>
  </w:num>
  <w:num w:numId="13" w16cid:durableId="2111119472">
    <w:abstractNumId w:val="14"/>
  </w:num>
  <w:num w:numId="14" w16cid:durableId="1278367853">
    <w:abstractNumId w:val="19"/>
  </w:num>
  <w:num w:numId="15" w16cid:durableId="2064795421">
    <w:abstractNumId w:val="23"/>
  </w:num>
  <w:num w:numId="16" w16cid:durableId="43989143">
    <w:abstractNumId w:val="31"/>
  </w:num>
  <w:num w:numId="17" w16cid:durableId="546454058">
    <w:abstractNumId w:val="15"/>
  </w:num>
  <w:num w:numId="18" w16cid:durableId="1018001124">
    <w:abstractNumId w:val="16"/>
  </w:num>
  <w:num w:numId="19" w16cid:durableId="1047487086">
    <w:abstractNumId w:val="32"/>
  </w:num>
  <w:num w:numId="20" w16cid:durableId="306057586">
    <w:abstractNumId w:val="22"/>
  </w:num>
  <w:num w:numId="21" w16cid:durableId="704017107">
    <w:abstractNumId w:val="25"/>
  </w:num>
  <w:num w:numId="22" w16cid:durableId="1276061853">
    <w:abstractNumId w:val="7"/>
  </w:num>
  <w:num w:numId="23" w16cid:durableId="420445940">
    <w:abstractNumId w:val="1"/>
  </w:num>
  <w:num w:numId="24" w16cid:durableId="916944013">
    <w:abstractNumId w:val="0"/>
  </w:num>
  <w:num w:numId="25" w16cid:durableId="2008509727">
    <w:abstractNumId w:val="3"/>
  </w:num>
  <w:num w:numId="26" w16cid:durableId="1777403185">
    <w:abstractNumId w:val="9"/>
  </w:num>
  <w:num w:numId="27" w16cid:durableId="2132088989">
    <w:abstractNumId w:val="20"/>
  </w:num>
  <w:num w:numId="28" w16cid:durableId="912934640">
    <w:abstractNumId w:val="4"/>
  </w:num>
  <w:num w:numId="29" w16cid:durableId="985472962">
    <w:abstractNumId w:val="27"/>
  </w:num>
  <w:num w:numId="30" w16cid:durableId="681475954">
    <w:abstractNumId w:val="26"/>
  </w:num>
  <w:num w:numId="31" w16cid:durableId="1621497913">
    <w:abstractNumId w:val="30"/>
  </w:num>
  <w:num w:numId="32" w16cid:durableId="2128505096">
    <w:abstractNumId w:val="28"/>
  </w:num>
  <w:num w:numId="33" w16cid:durableId="54014093">
    <w:abstractNumId w:val="1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EUROLOOK"/>
  </w:docVars>
  <w:rsids>
    <w:rsidRoot w:val="00586CB3"/>
    <w:rsid w:val="00064783"/>
    <w:rsid w:val="00160B5F"/>
    <w:rsid w:val="00410C93"/>
    <w:rsid w:val="004E10E8"/>
    <w:rsid w:val="00586CB3"/>
    <w:rsid w:val="005B09F1"/>
    <w:rsid w:val="008F0D2D"/>
    <w:rsid w:val="009A2C72"/>
    <w:rsid w:val="00AA61DE"/>
    <w:rsid w:val="00B554AB"/>
    <w:rsid w:val="00ED1F1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9A843"/>
  <w15:docId w15:val="{E634AEA8-386E-4342-95DE-66FAF0F0B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IE" w:bidi="ar-SA"/>
      </w:rPr>
    </w:rPrDefault>
    <w:pPrDefault/>
  </w:docDefaults>
  <w:latentStyles w:defLockedState="1" w:defUIPriority="0"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2"/>
    <w:lsdException w:name="footer" w:uiPriority="2"/>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lny">
    <w:name w:val="Normal"/>
    <w:uiPriority w:val="1"/>
    <w:qFormat/>
    <w:pPr>
      <w:spacing w:after="240"/>
      <w:jc w:val="both"/>
    </w:pPr>
  </w:style>
  <w:style w:type="paragraph" w:styleId="Nadpis1">
    <w:name w:val="heading 1"/>
    <w:basedOn w:val="Normlny"/>
    <w:next w:val="Text1"/>
    <w:uiPriority w:val="1"/>
    <w:qFormat/>
    <w:pPr>
      <w:keepNext/>
      <w:numPr>
        <w:numId w:val="16"/>
      </w:numPr>
      <w:spacing w:before="240"/>
      <w:outlineLvl w:val="0"/>
    </w:pPr>
    <w:rPr>
      <w:b/>
      <w:smallCaps/>
    </w:rPr>
  </w:style>
  <w:style w:type="paragraph" w:styleId="Nadpis2">
    <w:name w:val="heading 2"/>
    <w:basedOn w:val="Normlny"/>
    <w:next w:val="Text2"/>
    <w:link w:val="Nadpis2Char"/>
    <w:uiPriority w:val="1"/>
    <w:qFormat/>
    <w:pPr>
      <w:keepNext/>
      <w:numPr>
        <w:ilvl w:val="1"/>
        <w:numId w:val="16"/>
      </w:numPr>
      <w:outlineLvl w:val="1"/>
    </w:pPr>
    <w:rPr>
      <w:b/>
    </w:rPr>
  </w:style>
  <w:style w:type="paragraph" w:styleId="Nadpis3">
    <w:name w:val="heading 3"/>
    <w:basedOn w:val="Normlny"/>
    <w:next w:val="Text3"/>
    <w:uiPriority w:val="1"/>
    <w:qFormat/>
    <w:pPr>
      <w:keepNext/>
      <w:numPr>
        <w:ilvl w:val="2"/>
        <w:numId w:val="16"/>
      </w:numPr>
      <w:outlineLvl w:val="2"/>
    </w:pPr>
    <w:rPr>
      <w:i/>
    </w:rPr>
  </w:style>
  <w:style w:type="paragraph" w:styleId="Nadpis4">
    <w:name w:val="heading 4"/>
    <w:basedOn w:val="Normlny"/>
    <w:next w:val="Text4"/>
    <w:uiPriority w:val="1"/>
    <w:qFormat/>
    <w:pPr>
      <w:keepNext/>
      <w:numPr>
        <w:ilvl w:val="3"/>
        <w:numId w:val="16"/>
      </w:numPr>
      <w:outlineLvl w:val="3"/>
    </w:pPr>
  </w:style>
  <w:style w:type="paragraph" w:styleId="Nadpis5">
    <w:name w:val="heading 5"/>
    <w:basedOn w:val="Normlny"/>
    <w:next w:val="Normlny"/>
    <w:semiHidden/>
    <w:qFormat/>
    <w:pPr>
      <w:keepNext/>
      <w:numPr>
        <w:ilvl w:val="4"/>
        <w:numId w:val="16"/>
      </w:numPr>
      <w:outlineLvl w:val="4"/>
    </w:pPr>
  </w:style>
  <w:style w:type="paragraph" w:styleId="Nadpis6">
    <w:name w:val="heading 6"/>
    <w:basedOn w:val="Normlny"/>
    <w:next w:val="Normlny"/>
    <w:semiHidden/>
    <w:qFormat/>
    <w:pPr>
      <w:keepNext/>
      <w:numPr>
        <w:ilvl w:val="5"/>
        <w:numId w:val="16"/>
      </w:numPr>
      <w:outlineLvl w:val="5"/>
    </w:pPr>
  </w:style>
  <w:style w:type="paragraph" w:styleId="Nadpis7">
    <w:name w:val="heading 7"/>
    <w:basedOn w:val="Normlny"/>
    <w:next w:val="Normlny"/>
    <w:qFormat/>
    <w:pPr>
      <w:keepNext/>
      <w:numPr>
        <w:ilvl w:val="6"/>
        <w:numId w:val="16"/>
      </w:numPr>
      <w:outlineLvl w:val="6"/>
    </w:pPr>
  </w:style>
  <w:style w:type="paragraph" w:styleId="Nadpis8">
    <w:name w:val="heading 8"/>
    <w:basedOn w:val="Normlny"/>
    <w:next w:val="Normlny"/>
    <w:qFormat/>
    <w:pPr>
      <w:keepNext/>
      <w:numPr>
        <w:ilvl w:val="7"/>
        <w:numId w:val="16"/>
      </w:numPr>
      <w:outlineLvl w:val="7"/>
    </w:pPr>
  </w:style>
  <w:style w:type="paragraph" w:styleId="Nadpis9">
    <w:name w:val="heading 9"/>
    <w:basedOn w:val="Normlny"/>
    <w:next w:val="Normlny"/>
    <w:qFormat/>
    <w:pPr>
      <w:keepNext/>
      <w:numPr>
        <w:ilvl w:val="8"/>
        <w:numId w:val="16"/>
      </w:numPr>
      <w:outlineLvl w:val="8"/>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BodyPlaceholderText">
    <w:name w:val="BodyPlaceholderText"/>
    <w:basedOn w:val="Zstupntext"/>
    <w:semiHidden/>
    <w:rPr>
      <w:vanish w:val="0"/>
      <w:color w:val="3366CC"/>
    </w:rPr>
  </w:style>
  <w:style w:type="character" w:customStyle="1" w:styleId="CrossReference">
    <w:name w:val="Cross Reference"/>
    <w:basedOn w:val="Predvolenpsmoodseku"/>
    <w:uiPriority w:val="2"/>
    <w:rPr>
      <w:i/>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InstructionRed">
    <w:name w:val="InstructionRed"/>
    <w:uiPriority w:val="1"/>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Zstupntext">
    <w:name w:val="Placeholder Text"/>
    <w:basedOn w:val="Predvolenpsmoodseku"/>
    <w:semiHidden/>
    <w:rPr>
      <w:vanish w:val="0"/>
      <w:color w:val="288061"/>
    </w:rPr>
  </w:style>
  <w:style w:type="paragraph" w:customStyle="1" w:styleId="AfterTable">
    <w:name w:val="After Table"/>
    <w:semiHidden/>
    <w:rPr>
      <w:sz w:val="4"/>
    </w:rPr>
  </w:style>
  <w:style w:type="paragraph" w:customStyle="1" w:styleId="AnnexTitle">
    <w:name w:val="AnnexTitle"/>
    <w:basedOn w:val="Normlny"/>
    <w:next w:val="Normlny"/>
    <w:uiPriority w:val="1"/>
    <w:qFormat/>
    <w:pPr>
      <w:pageBreakBefore/>
      <w:numPr>
        <w:numId w:val="19"/>
      </w:numPr>
      <w:spacing w:after="480"/>
      <w:outlineLvl w:val="0"/>
    </w:pPr>
    <w:rPr>
      <w:b/>
      <w:sz w:val="32"/>
    </w:rPr>
  </w:style>
  <w:style w:type="paragraph" w:styleId="Popis">
    <w:name w:val="caption"/>
    <w:basedOn w:val="Normlny"/>
    <w:next w:val="Normlny"/>
    <w:semiHidden/>
    <w:pPr>
      <w:spacing w:before="160"/>
    </w:pPr>
    <w:rPr>
      <w:i/>
      <w:sz w:val="22"/>
    </w:rPr>
  </w:style>
  <w:style w:type="paragraph" w:styleId="Zver">
    <w:name w:val="Closing"/>
    <w:basedOn w:val="Normlny"/>
    <w:next w:val="Podpis"/>
    <w:uiPriority w:val="2"/>
    <w:pPr>
      <w:tabs>
        <w:tab w:val="left" w:pos="5102"/>
      </w:tabs>
      <w:spacing w:before="240"/>
      <w:ind w:left="5102"/>
      <w:jc w:val="left"/>
    </w:pPr>
  </w:style>
  <w:style w:type="paragraph" w:customStyle="1" w:styleId="ClosingL">
    <w:name w:val="ClosingL"/>
    <w:basedOn w:val="Normlny"/>
    <w:next w:val="Podpis"/>
    <w:uiPriority w:val="2"/>
    <w:pPr>
      <w:spacing w:before="240"/>
      <w:jc w:val="left"/>
    </w:pPr>
  </w:style>
  <w:style w:type="paragraph" w:customStyle="1" w:styleId="ConfidentialUE">
    <w:name w:val="Confidential UE"/>
    <w:basedOn w:val="Normlny"/>
    <w:semiHidden/>
    <w:pPr>
      <w:spacing w:after="0"/>
      <w:jc w:val="center"/>
    </w:pPr>
    <w:rPr>
      <w:b/>
      <w:caps/>
      <w:sz w:val="32"/>
      <w:bdr w:val="single" w:sz="18" w:space="0" w:color="auto"/>
    </w:rPr>
  </w:style>
  <w:style w:type="paragraph" w:customStyle="1" w:styleId="Contact">
    <w:name w:val="Contact"/>
    <w:basedOn w:val="Normlny"/>
    <w:uiPriority w:val="1"/>
    <w:pPr>
      <w:spacing w:before="480" w:after="0"/>
      <w:ind w:left="567" w:hanging="567"/>
      <w:contextualSpacing/>
      <w:jc w:val="left"/>
    </w:pPr>
  </w:style>
  <w:style w:type="paragraph" w:customStyle="1" w:styleId="ContNum">
    <w:name w:val="ContNum"/>
    <w:basedOn w:val="Normlny"/>
    <w:uiPriority w:val="1"/>
    <w:qFormat/>
    <w:pPr>
      <w:numPr>
        <w:numId w:val="18"/>
      </w:numPr>
    </w:pPr>
  </w:style>
  <w:style w:type="paragraph" w:customStyle="1" w:styleId="ContNumLevel2">
    <w:name w:val="ContNum (Level 2)"/>
    <w:basedOn w:val="Normlny"/>
    <w:uiPriority w:val="1"/>
    <w:pPr>
      <w:numPr>
        <w:ilvl w:val="1"/>
        <w:numId w:val="18"/>
      </w:numPr>
    </w:pPr>
  </w:style>
  <w:style w:type="paragraph" w:customStyle="1" w:styleId="ContNumLevel3">
    <w:name w:val="ContNum (Level 3)"/>
    <w:basedOn w:val="Normlny"/>
    <w:uiPriority w:val="1"/>
    <w:pPr>
      <w:numPr>
        <w:ilvl w:val="2"/>
        <w:numId w:val="18"/>
      </w:numPr>
    </w:pPr>
  </w:style>
  <w:style w:type="paragraph" w:customStyle="1" w:styleId="Copies">
    <w:name w:val="Copies"/>
    <w:basedOn w:val="Normlny"/>
    <w:uiPriority w:val="2"/>
    <w:pPr>
      <w:tabs>
        <w:tab w:val="left" w:pos="5669"/>
      </w:tabs>
      <w:spacing w:before="480" w:after="0"/>
      <w:ind w:left="1531" w:hanging="1531"/>
      <w:contextualSpacing/>
      <w:jc w:val="left"/>
    </w:pPr>
  </w:style>
  <w:style w:type="paragraph" w:styleId="Dtum">
    <w:name w:val="Date"/>
    <w:basedOn w:val="Normlny"/>
    <w:next w:val="References"/>
    <w:uiPriority w:val="1"/>
    <w:pPr>
      <w:spacing w:after="0"/>
      <w:ind w:left="5102" w:right="-567"/>
      <w:jc w:val="left"/>
    </w:pPr>
  </w:style>
  <w:style w:type="paragraph" w:customStyle="1" w:styleId="Designator">
    <w:name w:val="Designator"/>
    <w:basedOn w:val="Normlny"/>
    <w:semiHidden/>
    <w:pPr>
      <w:spacing w:after="0"/>
      <w:jc w:val="center"/>
    </w:pPr>
    <w:rPr>
      <w:b/>
      <w:caps/>
      <w:sz w:val="32"/>
    </w:rPr>
  </w:style>
  <w:style w:type="paragraph" w:customStyle="1" w:styleId="DoubSign">
    <w:name w:val="DoubSign"/>
    <w:basedOn w:val="Normlny"/>
    <w:uiPriority w:val="2"/>
    <w:pPr>
      <w:spacing w:before="1200" w:after="0"/>
      <w:jc w:val="left"/>
    </w:pPr>
  </w:style>
  <w:style w:type="paragraph" w:customStyle="1" w:styleId="EmptyParagraph">
    <w:name w:val="Empty Paragraph"/>
    <w:basedOn w:val="Normlny"/>
    <w:next w:val="Normlny"/>
    <w:semiHidden/>
    <w:pPr>
      <w:spacing w:before="240"/>
    </w:pPr>
  </w:style>
  <w:style w:type="paragraph" w:customStyle="1" w:styleId="Enclosures">
    <w:name w:val="Enclosures"/>
    <w:basedOn w:val="Normlny"/>
    <w:uiPriority w:val="2"/>
    <w:pPr>
      <w:keepNext/>
      <w:keepLines/>
      <w:tabs>
        <w:tab w:val="left" w:pos="5669"/>
      </w:tabs>
      <w:spacing w:before="480" w:after="0"/>
      <w:ind w:left="1531" w:hanging="1531"/>
      <w:contextualSpacing/>
      <w:jc w:val="left"/>
    </w:pPr>
  </w:style>
  <w:style w:type="paragraph" w:styleId="Textvysvetlivky">
    <w:name w:val="endnote text"/>
    <w:basedOn w:val="Normlny"/>
    <w:semiHidden/>
    <w:unhideWhenUsed/>
    <w:pPr>
      <w:spacing w:after="120"/>
      <w:ind w:left="357" w:hanging="357"/>
    </w:pPr>
    <w:rPr>
      <w:sz w:val="20"/>
    </w:rPr>
  </w:style>
  <w:style w:type="paragraph" w:customStyle="1" w:styleId="FigureBody">
    <w:name w:val="Figure Body"/>
    <w:basedOn w:val="Normlny"/>
    <w:next w:val="FigureSource"/>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4">
    <w:name w:val="Figure Body 4"/>
    <w:basedOn w:val="Text4"/>
    <w:next w:val="FigureSource4"/>
    <w:uiPriority w:val="2"/>
    <w:pPr>
      <w:keepNext/>
      <w:spacing w:after="40"/>
    </w:pPr>
  </w:style>
  <w:style w:type="paragraph" w:customStyle="1" w:styleId="FigureSource">
    <w:name w:val="Figure Source"/>
    <w:basedOn w:val="Normlny"/>
    <w:next w:val="Normlny"/>
    <w:uiPriority w:val="2"/>
    <w:rPr>
      <w:sz w:val="20"/>
    </w:rPr>
  </w:style>
  <w:style w:type="paragraph" w:customStyle="1" w:styleId="FigureSource1">
    <w:name w:val="Figure Source 1"/>
    <w:basedOn w:val="Text1"/>
    <w:next w:val="Text1"/>
    <w:uiPriority w:val="2"/>
    <w:rPr>
      <w:sz w:val="20"/>
    </w:rPr>
  </w:style>
  <w:style w:type="paragraph" w:customStyle="1" w:styleId="FigureSource2">
    <w:name w:val="Figure Source 2"/>
    <w:basedOn w:val="Text2"/>
    <w:next w:val="Text2"/>
    <w:uiPriority w:val="2"/>
    <w:rPr>
      <w:sz w:val="20"/>
    </w:rPr>
  </w:style>
  <w:style w:type="paragraph" w:customStyle="1" w:styleId="FigureSource3">
    <w:name w:val="Figure Source 3"/>
    <w:basedOn w:val="Text3"/>
    <w:next w:val="Text3"/>
    <w:uiPriority w:val="2"/>
    <w:rPr>
      <w:sz w:val="20"/>
    </w:rPr>
  </w:style>
  <w:style w:type="paragraph" w:customStyle="1" w:styleId="FigureSource4">
    <w:name w:val="Figure Source 4"/>
    <w:basedOn w:val="Text4"/>
    <w:next w:val="Text4"/>
    <w:uiPriority w:val="2"/>
    <w:rPr>
      <w:sz w:val="20"/>
    </w:rPr>
  </w:style>
  <w:style w:type="paragraph" w:customStyle="1" w:styleId="FigureTitle">
    <w:name w:val="Figure Title"/>
    <w:basedOn w:val="Normlny"/>
    <w:next w:val="FigureBody"/>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4">
    <w:name w:val="Figure Title 4"/>
    <w:basedOn w:val="Text4"/>
    <w:next w:val="FigureBody4"/>
    <w:uiPriority w:val="2"/>
    <w:pPr>
      <w:keepNext/>
      <w:spacing w:after="120"/>
    </w:pPr>
    <w:rPr>
      <w:b/>
      <w:i/>
    </w:rPr>
  </w:style>
  <w:style w:type="paragraph" w:styleId="Pta">
    <w:name w:val="footer"/>
    <w:basedOn w:val="Normlny"/>
    <w:uiPriority w:val="2"/>
    <w:pPr>
      <w:spacing w:after="0"/>
      <w:ind w:right="-567"/>
      <w:jc w:val="left"/>
    </w:pPr>
    <w:rPr>
      <w:sz w:val="16"/>
    </w:rPr>
  </w:style>
  <w:style w:type="paragraph" w:customStyle="1" w:styleId="FooterLine">
    <w:name w:val="Footer Line"/>
    <w:basedOn w:val="Pta"/>
    <w:next w:val="Pta"/>
    <w:uiPriority w:val="2"/>
    <w:pPr>
      <w:tabs>
        <w:tab w:val="right" w:pos="8646"/>
      </w:tabs>
      <w:spacing w:before="120"/>
      <w:ind w:right="0"/>
    </w:pPr>
  </w:style>
  <w:style w:type="paragraph" w:styleId="Textpoznmkypodiarou">
    <w:name w:val="footnote text"/>
    <w:aliases w:val="Schriftart: 9 pt,Schriftart: 10 pt,Schriftart: 8 pt,WB-Fußnotentext,fn,footnote text,Footnotes,Footnote ak,FoodNote,ft,Footnote text,Footnote Text Char1,Footnote Text Char Char,Footnote Text Char1 Char Cha,Fußnote"/>
    <w:basedOn w:val="Normlny"/>
    <w:link w:val="TextpoznmkypodiarouChar"/>
    <w:uiPriority w:val="99"/>
    <w:unhideWhenUsed/>
    <w:qFormat/>
    <w:pPr>
      <w:spacing w:after="120"/>
      <w:ind w:left="357" w:hanging="357"/>
    </w:pPr>
    <w:rPr>
      <w:sz w:val="20"/>
    </w:rPr>
  </w:style>
  <w:style w:type="paragraph" w:customStyle="1" w:styleId="LegalNumPar">
    <w:name w:val="LegalNumPar"/>
    <w:basedOn w:val="Normlny"/>
    <w:uiPriority w:val="1"/>
    <w:qFormat/>
    <w:pPr>
      <w:numPr>
        <w:numId w:val="17"/>
      </w:numPr>
      <w:spacing w:line="360" w:lineRule="auto"/>
    </w:pPr>
  </w:style>
  <w:style w:type="paragraph" w:customStyle="1" w:styleId="LegalNumPar2">
    <w:name w:val="LegalNumPar2"/>
    <w:basedOn w:val="Normlny"/>
    <w:uiPriority w:val="1"/>
    <w:pPr>
      <w:numPr>
        <w:ilvl w:val="1"/>
        <w:numId w:val="17"/>
      </w:numPr>
      <w:spacing w:line="360" w:lineRule="auto"/>
    </w:pPr>
  </w:style>
  <w:style w:type="paragraph" w:customStyle="1" w:styleId="LegalNumPar3">
    <w:name w:val="LegalNumPar3"/>
    <w:basedOn w:val="Normlny"/>
    <w:uiPriority w:val="1"/>
    <w:pPr>
      <w:numPr>
        <w:ilvl w:val="2"/>
        <w:numId w:val="17"/>
      </w:numPr>
      <w:spacing w:line="360" w:lineRule="auto"/>
    </w:pPr>
  </w:style>
  <w:style w:type="paragraph" w:styleId="Zoznamsodrkami">
    <w:name w:val="List Bullet"/>
    <w:basedOn w:val="Normlny"/>
    <w:uiPriority w:val="1"/>
    <w:pPr>
      <w:numPr>
        <w:numId w:val="15"/>
      </w:numPr>
    </w:pPr>
  </w:style>
  <w:style w:type="paragraph" w:customStyle="1" w:styleId="ListBulletLevel2">
    <w:name w:val="List Bullet (Level 2)"/>
    <w:basedOn w:val="Normlny"/>
    <w:uiPriority w:val="1"/>
    <w:pPr>
      <w:numPr>
        <w:ilvl w:val="1"/>
        <w:numId w:val="15"/>
      </w:numPr>
    </w:pPr>
  </w:style>
  <w:style w:type="paragraph" w:customStyle="1" w:styleId="ListBulletLevel3">
    <w:name w:val="List Bullet (Level 3)"/>
    <w:basedOn w:val="Normlny"/>
    <w:uiPriority w:val="1"/>
    <w:semiHidden/>
    <w:unhideWhenUsed/>
    <w:pPr>
      <w:numPr>
        <w:ilvl w:val="2"/>
        <w:numId w:val="15"/>
      </w:numPr>
    </w:pPr>
  </w:style>
  <w:style w:type="paragraph" w:customStyle="1" w:styleId="ListBulletLevel4">
    <w:name w:val="List Bullet (Level 4)"/>
    <w:basedOn w:val="Normlny"/>
    <w:uiPriority w:val="1"/>
    <w:semiHidden/>
    <w:unhideWhenUsed/>
    <w:pPr>
      <w:numPr>
        <w:ilvl w:val="3"/>
        <w:numId w:val="15"/>
      </w:numPr>
    </w:pPr>
  </w:style>
  <w:style w:type="paragraph" w:customStyle="1" w:styleId="ListBullet1">
    <w:name w:val="List Bullet 1"/>
    <w:basedOn w:val="Text1"/>
    <w:uiPriority w:val="1"/>
    <w:pPr>
      <w:numPr>
        <w:numId w:val="14"/>
      </w:numPr>
    </w:pPr>
  </w:style>
  <w:style w:type="paragraph" w:customStyle="1" w:styleId="ListBullet1Level2">
    <w:name w:val="List Bullet 1 (Level 2)"/>
    <w:basedOn w:val="Text1"/>
    <w:uiPriority w:val="1"/>
    <w:pPr>
      <w:numPr>
        <w:ilvl w:val="1"/>
        <w:numId w:val="14"/>
      </w:numPr>
    </w:pPr>
  </w:style>
  <w:style w:type="paragraph" w:customStyle="1" w:styleId="ListBullet1Level3">
    <w:name w:val="List Bullet 1 (Level 3)"/>
    <w:basedOn w:val="Text1"/>
    <w:uiPriority w:val="1"/>
    <w:semiHidden/>
    <w:unhideWhenUsed/>
    <w:pPr>
      <w:numPr>
        <w:ilvl w:val="2"/>
        <w:numId w:val="14"/>
      </w:numPr>
    </w:pPr>
  </w:style>
  <w:style w:type="paragraph" w:customStyle="1" w:styleId="ListBullet1Level4">
    <w:name w:val="List Bullet 1 (Level 4)"/>
    <w:basedOn w:val="Text1"/>
    <w:uiPriority w:val="1"/>
    <w:semiHidden/>
    <w:unhideWhenUsed/>
    <w:pPr>
      <w:numPr>
        <w:ilvl w:val="3"/>
        <w:numId w:val="14"/>
      </w:numPr>
    </w:pPr>
  </w:style>
  <w:style w:type="paragraph" w:styleId="Zoznamsodrkami2">
    <w:name w:val="List Bullet 2"/>
    <w:basedOn w:val="Text2"/>
    <w:uiPriority w:val="1"/>
    <w:pPr>
      <w:numPr>
        <w:numId w:val="13"/>
      </w:numPr>
    </w:pPr>
  </w:style>
  <w:style w:type="paragraph" w:customStyle="1" w:styleId="ListBullet2Level2">
    <w:name w:val="List Bullet 2 (Level 2)"/>
    <w:basedOn w:val="Text2"/>
    <w:uiPriority w:val="1"/>
    <w:pPr>
      <w:numPr>
        <w:ilvl w:val="1"/>
        <w:numId w:val="13"/>
      </w:numPr>
    </w:pPr>
  </w:style>
  <w:style w:type="paragraph" w:customStyle="1" w:styleId="ListBullet2Level3">
    <w:name w:val="List Bullet 2 (Level 3)"/>
    <w:basedOn w:val="Text2"/>
    <w:uiPriority w:val="1"/>
    <w:semiHidden/>
    <w:unhideWhenUsed/>
    <w:pPr>
      <w:numPr>
        <w:ilvl w:val="2"/>
        <w:numId w:val="13"/>
      </w:numPr>
    </w:pPr>
  </w:style>
  <w:style w:type="paragraph" w:customStyle="1" w:styleId="ListBullet2Level4">
    <w:name w:val="List Bullet 2 (Level 4)"/>
    <w:basedOn w:val="Text2"/>
    <w:uiPriority w:val="1"/>
    <w:semiHidden/>
    <w:unhideWhenUsed/>
    <w:pPr>
      <w:numPr>
        <w:ilvl w:val="3"/>
        <w:numId w:val="13"/>
      </w:numPr>
    </w:pPr>
  </w:style>
  <w:style w:type="paragraph" w:styleId="Zoznamsodrkami3">
    <w:name w:val="List Bullet 3"/>
    <w:basedOn w:val="Text3"/>
    <w:uiPriority w:val="1"/>
    <w:pPr>
      <w:numPr>
        <w:numId w:val="12"/>
      </w:numPr>
    </w:pPr>
  </w:style>
  <w:style w:type="paragraph" w:customStyle="1" w:styleId="ListBullet3Level2">
    <w:name w:val="List Bullet 3 (Level 2)"/>
    <w:basedOn w:val="Text3"/>
    <w:uiPriority w:val="1"/>
    <w:pPr>
      <w:numPr>
        <w:ilvl w:val="1"/>
        <w:numId w:val="12"/>
      </w:numPr>
    </w:pPr>
  </w:style>
  <w:style w:type="paragraph" w:customStyle="1" w:styleId="ListBullet3Level3">
    <w:name w:val="List Bullet 3 (Level 3)"/>
    <w:basedOn w:val="Text3"/>
    <w:uiPriority w:val="1"/>
    <w:semiHidden/>
    <w:unhideWhenUsed/>
    <w:pPr>
      <w:numPr>
        <w:ilvl w:val="2"/>
        <w:numId w:val="12"/>
      </w:numPr>
    </w:pPr>
  </w:style>
  <w:style w:type="paragraph" w:customStyle="1" w:styleId="ListBullet3Level4">
    <w:name w:val="List Bullet 3 (Level 4)"/>
    <w:basedOn w:val="Text3"/>
    <w:uiPriority w:val="1"/>
    <w:semiHidden/>
    <w:unhideWhenUsed/>
    <w:pPr>
      <w:numPr>
        <w:ilvl w:val="3"/>
        <w:numId w:val="12"/>
      </w:numPr>
    </w:pPr>
  </w:style>
  <w:style w:type="paragraph" w:styleId="Zoznamsodrkami4">
    <w:name w:val="List Bullet 4"/>
    <w:basedOn w:val="Text4"/>
    <w:uiPriority w:val="1"/>
    <w:pPr>
      <w:numPr>
        <w:numId w:val="11"/>
      </w:numPr>
    </w:pPr>
  </w:style>
  <w:style w:type="paragraph" w:customStyle="1" w:styleId="ListBullet4Level2">
    <w:name w:val="List Bullet 4 (Level 2)"/>
    <w:basedOn w:val="Text4"/>
    <w:uiPriority w:val="1"/>
    <w:pPr>
      <w:numPr>
        <w:ilvl w:val="1"/>
        <w:numId w:val="11"/>
      </w:numPr>
    </w:pPr>
  </w:style>
  <w:style w:type="paragraph" w:customStyle="1" w:styleId="ListBullet4Level3">
    <w:name w:val="List Bullet 4 (Level 3)"/>
    <w:basedOn w:val="Text4"/>
    <w:uiPriority w:val="1"/>
    <w:semiHidden/>
    <w:unhideWhenUsed/>
    <w:pPr>
      <w:numPr>
        <w:ilvl w:val="2"/>
        <w:numId w:val="11"/>
      </w:numPr>
    </w:pPr>
  </w:style>
  <w:style w:type="paragraph" w:customStyle="1" w:styleId="ListBullet4Level4">
    <w:name w:val="List Bullet 4 (Level 4)"/>
    <w:basedOn w:val="Text4"/>
    <w:uiPriority w:val="1"/>
    <w:semiHidden/>
    <w:unhideWhenUsed/>
    <w:pPr>
      <w:numPr>
        <w:ilvl w:val="3"/>
        <w:numId w:val="11"/>
      </w:numPr>
    </w:pPr>
  </w:style>
  <w:style w:type="paragraph" w:customStyle="1" w:styleId="ListDash">
    <w:name w:val="List Dash"/>
    <w:basedOn w:val="Normlny"/>
    <w:uiPriority w:val="1"/>
    <w:pPr>
      <w:numPr>
        <w:numId w:val="5"/>
      </w:numPr>
    </w:pPr>
  </w:style>
  <w:style w:type="paragraph" w:customStyle="1" w:styleId="ListDashLevel2">
    <w:name w:val="List Dash (Level 2)"/>
    <w:basedOn w:val="Normlny"/>
    <w:uiPriority w:val="1"/>
    <w:pPr>
      <w:numPr>
        <w:ilvl w:val="1"/>
        <w:numId w:val="5"/>
      </w:numPr>
    </w:pPr>
  </w:style>
  <w:style w:type="paragraph" w:customStyle="1" w:styleId="ListDashLevel3">
    <w:name w:val="List Dash (Level 3)"/>
    <w:basedOn w:val="Normlny"/>
    <w:uiPriority w:val="1"/>
    <w:semiHidden/>
    <w:unhideWhenUsed/>
    <w:pPr>
      <w:numPr>
        <w:ilvl w:val="2"/>
        <w:numId w:val="5"/>
      </w:numPr>
    </w:pPr>
  </w:style>
  <w:style w:type="paragraph" w:customStyle="1" w:styleId="ListDashLevel4">
    <w:name w:val="List Dash (Level 4)"/>
    <w:basedOn w:val="Normlny"/>
    <w:uiPriority w:val="1"/>
    <w:semiHidden/>
    <w:unhideWhenUsed/>
    <w:pPr>
      <w:numPr>
        <w:ilvl w:val="3"/>
        <w:numId w:val="5"/>
      </w:numPr>
    </w:pPr>
  </w:style>
  <w:style w:type="paragraph" w:customStyle="1" w:styleId="ListDash1">
    <w:name w:val="List Dash 1"/>
    <w:basedOn w:val="Text1"/>
    <w:uiPriority w:val="1"/>
    <w:pPr>
      <w:numPr>
        <w:numId w:val="4"/>
      </w:numPr>
    </w:pPr>
  </w:style>
  <w:style w:type="paragraph" w:customStyle="1" w:styleId="ListDash1Level2">
    <w:name w:val="List Dash 1 (Level 2)"/>
    <w:basedOn w:val="Text1"/>
    <w:uiPriority w:val="1"/>
    <w:pPr>
      <w:numPr>
        <w:ilvl w:val="1"/>
        <w:numId w:val="4"/>
      </w:numPr>
    </w:pPr>
  </w:style>
  <w:style w:type="paragraph" w:customStyle="1" w:styleId="ListDash1Level3">
    <w:name w:val="List Dash 1 (Level 3)"/>
    <w:basedOn w:val="Text1"/>
    <w:uiPriority w:val="1"/>
    <w:semiHidden/>
    <w:unhideWhenUsed/>
    <w:pPr>
      <w:numPr>
        <w:ilvl w:val="2"/>
        <w:numId w:val="4"/>
      </w:numPr>
    </w:pPr>
  </w:style>
  <w:style w:type="paragraph" w:customStyle="1" w:styleId="ListDash1Level4">
    <w:name w:val="List Dash 1 (Level 4)"/>
    <w:basedOn w:val="Text1"/>
    <w:uiPriority w:val="1"/>
    <w:semiHidden/>
    <w:unhideWhenUsed/>
    <w:pPr>
      <w:numPr>
        <w:ilvl w:val="3"/>
        <w:numId w:val="4"/>
      </w:numPr>
    </w:pPr>
  </w:style>
  <w:style w:type="paragraph" w:customStyle="1" w:styleId="ListDash2">
    <w:name w:val="List Dash 2"/>
    <w:basedOn w:val="Text2"/>
    <w:uiPriority w:val="1"/>
    <w:pPr>
      <w:numPr>
        <w:numId w:val="3"/>
      </w:numPr>
    </w:pPr>
  </w:style>
  <w:style w:type="paragraph" w:customStyle="1" w:styleId="ListDash2Level2">
    <w:name w:val="List Dash 2 (Level 2)"/>
    <w:basedOn w:val="Text2"/>
    <w:uiPriority w:val="1"/>
    <w:pPr>
      <w:numPr>
        <w:ilvl w:val="1"/>
        <w:numId w:val="3"/>
      </w:numPr>
    </w:pPr>
  </w:style>
  <w:style w:type="paragraph" w:customStyle="1" w:styleId="ListDash2Level3">
    <w:name w:val="List Dash 2 (Level 3)"/>
    <w:basedOn w:val="Text2"/>
    <w:uiPriority w:val="1"/>
    <w:semiHidden/>
    <w:unhideWhenUsed/>
    <w:pPr>
      <w:numPr>
        <w:ilvl w:val="2"/>
        <w:numId w:val="3"/>
      </w:numPr>
    </w:pPr>
  </w:style>
  <w:style w:type="paragraph" w:customStyle="1" w:styleId="ListDash2Level4">
    <w:name w:val="List Dash 2 (Level 4)"/>
    <w:basedOn w:val="Text2"/>
    <w:uiPriority w:val="1"/>
    <w:semiHidden/>
    <w:unhideWhenUsed/>
    <w:pPr>
      <w:numPr>
        <w:ilvl w:val="3"/>
        <w:numId w:val="3"/>
      </w:numPr>
    </w:pPr>
  </w:style>
  <w:style w:type="paragraph" w:customStyle="1" w:styleId="ListDash3">
    <w:name w:val="List Dash 3"/>
    <w:basedOn w:val="Text3"/>
    <w:uiPriority w:val="1"/>
    <w:pPr>
      <w:numPr>
        <w:numId w:val="2"/>
      </w:numPr>
    </w:pPr>
  </w:style>
  <w:style w:type="paragraph" w:customStyle="1" w:styleId="ListDash3Level2">
    <w:name w:val="List Dash 3 (Level 2)"/>
    <w:basedOn w:val="Text3"/>
    <w:uiPriority w:val="1"/>
    <w:pPr>
      <w:numPr>
        <w:ilvl w:val="1"/>
        <w:numId w:val="2"/>
      </w:numPr>
    </w:pPr>
  </w:style>
  <w:style w:type="paragraph" w:customStyle="1" w:styleId="ListDash3Level3">
    <w:name w:val="List Dash 3 (Level 3)"/>
    <w:basedOn w:val="Text3"/>
    <w:uiPriority w:val="1"/>
    <w:semiHidden/>
    <w:unhideWhenUsed/>
    <w:pPr>
      <w:numPr>
        <w:ilvl w:val="2"/>
        <w:numId w:val="2"/>
      </w:numPr>
    </w:pPr>
  </w:style>
  <w:style w:type="paragraph" w:customStyle="1" w:styleId="ListDash3Level4">
    <w:name w:val="List Dash 3 (Level 4)"/>
    <w:basedOn w:val="Text3"/>
    <w:uiPriority w:val="1"/>
    <w:semiHidden/>
    <w:unhideWhenUsed/>
    <w:pPr>
      <w:numPr>
        <w:ilvl w:val="3"/>
        <w:numId w:val="2"/>
      </w:numPr>
    </w:pPr>
  </w:style>
  <w:style w:type="paragraph" w:customStyle="1" w:styleId="ListDash4">
    <w:name w:val="List Dash 4"/>
    <w:basedOn w:val="Text4"/>
    <w:uiPriority w:val="1"/>
    <w:pPr>
      <w:numPr>
        <w:numId w:val="1"/>
      </w:numPr>
    </w:pPr>
  </w:style>
  <w:style w:type="paragraph" w:customStyle="1" w:styleId="ListDash4Level2">
    <w:name w:val="List Dash 4 (Level 2)"/>
    <w:basedOn w:val="Text4"/>
    <w:uiPriority w:val="1"/>
    <w:pPr>
      <w:numPr>
        <w:ilvl w:val="1"/>
        <w:numId w:val="1"/>
      </w:numPr>
    </w:pPr>
  </w:style>
  <w:style w:type="paragraph" w:customStyle="1" w:styleId="ListDash4Level3">
    <w:name w:val="List Dash 4 (Level 3)"/>
    <w:basedOn w:val="Text4"/>
    <w:uiPriority w:val="1"/>
    <w:semiHidden/>
    <w:unhideWhenUsed/>
    <w:pPr>
      <w:numPr>
        <w:ilvl w:val="2"/>
        <w:numId w:val="1"/>
      </w:numPr>
    </w:pPr>
  </w:style>
  <w:style w:type="paragraph" w:customStyle="1" w:styleId="ListDash4Level4">
    <w:name w:val="List Dash 4 (Level 4)"/>
    <w:basedOn w:val="Text4"/>
    <w:uiPriority w:val="1"/>
    <w:semiHidden/>
    <w:unhideWhenUsed/>
    <w:pPr>
      <w:numPr>
        <w:ilvl w:val="3"/>
        <w:numId w:val="1"/>
      </w:numPr>
    </w:pPr>
  </w:style>
  <w:style w:type="paragraph" w:styleId="slovanzoznam">
    <w:name w:val="List Number"/>
    <w:basedOn w:val="Normlny"/>
    <w:uiPriority w:val="1"/>
    <w:pPr>
      <w:numPr>
        <w:numId w:val="10"/>
      </w:numPr>
    </w:pPr>
  </w:style>
  <w:style w:type="paragraph" w:customStyle="1" w:styleId="ListNumberLevel2">
    <w:name w:val="List Number (Level 2)"/>
    <w:basedOn w:val="Normlny"/>
    <w:uiPriority w:val="1"/>
    <w:pPr>
      <w:numPr>
        <w:ilvl w:val="1"/>
        <w:numId w:val="10"/>
      </w:numPr>
    </w:pPr>
  </w:style>
  <w:style w:type="paragraph" w:customStyle="1" w:styleId="ListNumberLevel3">
    <w:name w:val="List Number (Level 3)"/>
    <w:basedOn w:val="Normlny"/>
    <w:uiPriority w:val="1"/>
    <w:semiHidden/>
    <w:unhideWhenUsed/>
    <w:pPr>
      <w:numPr>
        <w:ilvl w:val="2"/>
        <w:numId w:val="10"/>
      </w:numPr>
    </w:pPr>
  </w:style>
  <w:style w:type="paragraph" w:customStyle="1" w:styleId="ListNumberLevel4">
    <w:name w:val="List Number (Level 4)"/>
    <w:basedOn w:val="Normlny"/>
    <w:uiPriority w:val="1"/>
    <w:semiHidden/>
    <w:unhideWhenUsed/>
    <w:pPr>
      <w:numPr>
        <w:ilvl w:val="3"/>
        <w:numId w:val="10"/>
      </w:numPr>
    </w:pPr>
  </w:style>
  <w:style w:type="paragraph" w:customStyle="1" w:styleId="ListNumber1">
    <w:name w:val="List Number 1"/>
    <w:basedOn w:val="Text1"/>
    <w:uiPriority w:val="1"/>
    <w:pPr>
      <w:numPr>
        <w:numId w:val="9"/>
      </w:numPr>
    </w:pPr>
  </w:style>
  <w:style w:type="paragraph" w:customStyle="1" w:styleId="ListNumber1Level2">
    <w:name w:val="List Number 1 (Level 2)"/>
    <w:basedOn w:val="Text1"/>
    <w:uiPriority w:val="1"/>
    <w:pPr>
      <w:numPr>
        <w:ilvl w:val="1"/>
        <w:numId w:val="9"/>
      </w:numPr>
    </w:pPr>
  </w:style>
  <w:style w:type="paragraph" w:customStyle="1" w:styleId="ListNumber1Level3">
    <w:name w:val="List Number 1 (Level 3)"/>
    <w:basedOn w:val="Text1"/>
    <w:uiPriority w:val="1"/>
    <w:semiHidden/>
    <w:unhideWhenUsed/>
    <w:pPr>
      <w:numPr>
        <w:ilvl w:val="2"/>
        <w:numId w:val="9"/>
      </w:numPr>
    </w:pPr>
  </w:style>
  <w:style w:type="paragraph" w:customStyle="1" w:styleId="ListNumber1Level4">
    <w:name w:val="List Number 1 (Level 4)"/>
    <w:basedOn w:val="Text1"/>
    <w:uiPriority w:val="1"/>
    <w:semiHidden/>
    <w:unhideWhenUsed/>
    <w:pPr>
      <w:numPr>
        <w:ilvl w:val="3"/>
        <w:numId w:val="9"/>
      </w:numPr>
    </w:pPr>
  </w:style>
  <w:style w:type="paragraph" w:styleId="slovanzoznam2">
    <w:name w:val="List Number 2"/>
    <w:basedOn w:val="Text2"/>
    <w:uiPriority w:val="1"/>
    <w:pPr>
      <w:numPr>
        <w:numId w:val="8"/>
      </w:numPr>
    </w:pPr>
  </w:style>
  <w:style w:type="paragraph" w:customStyle="1" w:styleId="ListNumber2Level2">
    <w:name w:val="List Number 2 (Level 2)"/>
    <w:basedOn w:val="Text2"/>
    <w:uiPriority w:val="1"/>
    <w:pPr>
      <w:numPr>
        <w:ilvl w:val="1"/>
        <w:numId w:val="8"/>
      </w:numPr>
    </w:pPr>
  </w:style>
  <w:style w:type="paragraph" w:customStyle="1" w:styleId="ListNumber2Level3">
    <w:name w:val="List Number 2 (Level 3)"/>
    <w:basedOn w:val="Text2"/>
    <w:uiPriority w:val="1"/>
    <w:semiHidden/>
    <w:unhideWhenUsed/>
    <w:pPr>
      <w:numPr>
        <w:ilvl w:val="2"/>
        <w:numId w:val="8"/>
      </w:numPr>
    </w:pPr>
  </w:style>
  <w:style w:type="paragraph" w:customStyle="1" w:styleId="ListNumber2Level4">
    <w:name w:val="List Number 2 (Level 4)"/>
    <w:basedOn w:val="Text2"/>
    <w:uiPriority w:val="1"/>
    <w:semiHidden/>
    <w:unhideWhenUsed/>
    <w:pPr>
      <w:numPr>
        <w:ilvl w:val="3"/>
        <w:numId w:val="8"/>
      </w:numPr>
    </w:pPr>
  </w:style>
  <w:style w:type="paragraph" w:styleId="slovanzoznam3">
    <w:name w:val="List Number 3"/>
    <w:basedOn w:val="Text3"/>
    <w:uiPriority w:val="1"/>
    <w:pPr>
      <w:numPr>
        <w:numId w:val="7"/>
      </w:numPr>
    </w:pPr>
  </w:style>
  <w:style w:type="paragraph" w:customStyle="1" w:styleId="ListNumber3Level2">
    <w:name w:val="List Number 3 (Level 2)"/>
    <w:basedOn w:val="Text3"/>
    <w:uiPriority w:val="1"/>
    <w:pPr>
      <w:numPr>
        <w:ilvl w:val="1"/>
        <w:numId w:val="7"/>
      </w:numPr>
    </w:pPr>
  </w:style>
  <w:style w:type="paragraph" w:customStyle="1" w:styleId="ListNumber3Level3">
    <w:name w:val="List Number 3 (Level 3)"/>
    <w:basedOn w:val="Text3"/>
    <w:uiPriority w:val="1"/>
    <w:semiHidden/>
    <w:unhideWhenUsed/>
    <w:pPr>
      <w:numPr>
        <w:ilvl w:val="2"/>
        <w:numId w:val="7"/>
      </w:numPr>
    </w:pPr>
  </w:style>
  <w:style w:type="paragraph" w:customStyle="1" w:styleId="ListNumber3Level4">
    <w:name w:val="List Number 3 (Level 4)"/>
    <w:basedOn w:val="Text3"/>
    <w:uiPriority w:val="1"/>
    <w:semiHidden/>
    <w:unhideWhenUsed/>
    <w:pPr>
      <w:numPr>
        <w:ilvl w:val="3"/>
        <w:numId w:val="7"/>
      </w:numPr>
    </w:pPr>
  </w:style>
  <w:style w:type="paragraph" w:styleId="slovanzoznam4">
    <w:name w:val="List Number 4"/>
    <w:basedOn w:val="Text4"/>
    <w:uiPriority w:val="1"/>
    <w:pPr>
      <w:numPr>
        <w:numId w:val="6"/>
      </w:numPr>
    </w:pPr>
  </w:style>
  <w:style w:type="paragraph" w:customStyle="1" w:styleId="ListNumber4Level2">
    <w:name w:val="List Number 4 (Level 2)"/>
    <w:basedOn w:val="Text4"/>
    <w:uiPriority w:val="1"/>
    <w:pPr>
      <w:numPr>
        <w:ilvl w:val="1"/>
        <w:numId w:val="6"/>
      </w:numPr>
    </w:pPr>
  </w:style>
  <w:style w:type="paragraph" w:customStyle="1" w:styleId="ListNumber4Level3">
    <w:name w:val="List Number 4 (Level 3)"/>
    <w:basedOn w:val="Text4"/>
    <w:uiPriority w:val="1"/>
    <w:semiHidden/>
    <w:unhideWhenUsed/>
    <w:pPr>
      <w:numPr>
        <w:ilvl w:val="2"/>
        <w:numId w:val="6"/>
      </w:numPr>
    </w:pPr>
  </w:style>
  <w:style w:type="paragraph" w:customStyle="1" w:styleId="ListNumber4Level4">
    <w:name w:val="List Number 4 (Level 4)"/>
    <w:basedOn w:val="Text4"/>
    <w:uiPriority w:val="1"/>
    <w:semiHidden/>
    <w:unhideWhenUsed/>
    <w:pPr>
      <w:numPr>
        <w:ilvl w:val="3"/>
        <w:numId w:val="6"/>
      </w:numPr>
    </w:pPr>
  </w:style>
  <w:style w:type="paragraph" w:styleId="Textmakra">
    <w:name w:val="macro"/>
    <w:basedOn w:val="Normlny"/>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Marking">
    <w:name w:val="Marking"/>
    <w:basedOn w:val="Normlny"/>
    <w:semiHidden/>
    <w:pPr>
      <w:ind w:left="5102" w:right="-680"/>
      <w:contextualSpacing/>
      <w:jc w:val="left"/>
    </w:pPr>
    <w:rPr>
      <w:sz w:val="28"/>
      <w:lang w:val="en-IE"/>
    </w:rPr>
  </w:style>
  <w:style w:type="paragraph" w:customStyle="1" w:styleId="NoteAddressee">
    <w:name w:val="NoteAddressee"/>
    <w:basedOn w:val="Normlny"/>
    <w:uiPriority w:val="2"/>
    <w:pPr>
      <w:spacing w:after="720"/>
      <w:contextualSpacing/>
      <w:jc w:val="center"/>
    </w:pPr>
    <w:rPr>
      <w:b/>
      <w:smallCaps/>
    </w:rPr>
  </w:style>
  <w:style w:type="paragraph" w:customStyle="1" w:styleId="NoteColumn">
    <w:name w:val="NoteColumn"/>
    <w:basedOn w:val="Normlny"/>
    <w:uiPriority w:val="2"/>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lny"/>
    <w:uiPriority w:val="2"/>
    <w:pPr>
      <w:spacing w:before="720" w:after="720"/>
      <w:contextualSpacing/>
      <w:jc w:val="center"/>
    </w:pPr>
    <w:rPr>
      <w:b/>
      <w:smallCaps/>
    </w:rPr>
  </w:style>
  <w:style w:type="paragraph" w:customStyle="1" w:styleId="NoteList">
    <w:name w:val="NoteList"/>
    <w:basedOn w:val="Normlny"/>
    <w:uiPriority w:val="2"/>
    <w:pPr>
      <w:tabs>
        <w:tab w:val="left" w:pos="5822"/>
      </w:tabs>
      <w:spacing w:before="720" w:after="720"/>
      <w:ind w:left="5102" w:hanging="3118"/>
      <w:contextualSpacing/>
      <w:jc w:val="left"/>
    </w:pPr>
    <w:rPr>
      <w:b/>
      <w:smallCaps/>
    </w:rPr>
  </w:style>
  <w:style w:type="paragraph" w:customStyle="1" w:styleId="NoteTitle">
    <w:name w:val="NoteTitle"/>
    <w:basedOn w:val="Normlny"/>
    <w:uiPriority w:val="2"/>
    <w:pPr>
      <w:spacing w:before="720" w:after="360"/>
      <w:contextualSpacing/>
      <w:jc w:val="center"/>
    </w:pPr>
    <w:rPr>
      <w:b/>
      <w:smallCaps/>
    </w:rPr>
  </w:style>
  <w:style w:type="paragraph" w:customStyle="1" w:styleId="NumPar1">
    <w:name w:val="NumPar 1"/>
    <w:basedOn w:val="Nadpis1"/>
    <w:uiPriority w:val="1"/>
    <w:qFormat/>
    <w:pPr>
      <w:keepNext w:val="0"/>
      <w:spacing w:before="0"/>
      <w:outlineLvl w:val="9"/>
    </w:pPr>
    <w:rPr>
      <w:b w:val="0"/>
      <w:smallCaps w:val="0"/>
    </w:rPr>
  </w:style>
  <w:style w:type="paragraph" w:customStyle="1" w:styleId="NumPar2">
    <w:name w:val="NumPar 2"/>
    <w:basedOn w:val="Nadpis2"/>
    <w:uiPriority w:val="1"/>
    <w:qFormat/>
    <w:pPr>
      <w:keepNext w:val="0"/>
      <w:outlineLvl w:val="9"/>
    </w:pPr>
    <w:rPr>
      <w:b w:val="0"/>
    </w:rPr>
  </w:style>
  <w:style w:type="paragraph" w:customStyle="1" w:styleId="NumPar3">
    <w:name w:val="NumPar 3"/>
    <w:basedOn w:val="Nadpis3"/>
    <w:uiPriority w:val="1"/>
    <w:qFormat/>
    <w:pPr>
      <w:keepNext w:val="0"/>
      <w:outlineLvl w:val="9"/>
    </w:pPr>
    <w:rPr>
      <w:i w:val="0"/>
    </w:rPr>
  </w:style>
  <w:style w:type="paragraph" w:customStyle="1" w:styleId="NumPar4">
    <w:name w:val="NumPar 4"/>
    <w:basedOn w:val="Nadpis4"/>
    <w:uiPriority w:val="1"/>
    <w:qFormat/>
    <w:pPr>
      <w:keepNext w:val="0"/>
      <w:outlineLvl w:val="9"/>
    </w:pPr>
  </w:style>
  <w:style w:type="paragraph" w:customStyle="1" w:styleId="Participants">
    <w:name w:val="Participants"/>
    <w:basedOn w:val="Normlny"/>
    <w:uiPriority w:val="2"/>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lny"/>
    <w:uiPriority w:val="1"/>
    <w:pPr>
      <w:ind w:left="5102" w:right="-567"/>
      <w:contextualSpacing/>
      <w:jc w:val="left"/>
    </w:pPr>
    <w:rPr>
      <w:sz w:val="20"/>
    </w:rPr>
  </w:style>
  <w:style w:type="paragraph" w:customStyle="1" w:styleId="Releasable">
    <w:name w:val="Releasable"/>
    <w:basedOn w:val="Normlny"/>
    <w:semiHidden/>
    <w:pPr>
      <w:spacing w:after="0"/>
      <w:jc w:val="center"/>
    </w:pPr>
    <w:rPr>
      <w:b/>
      <w:caps/>
      <w:sz w:val="32"/>
    </w:rPr>
  </w:style>
  <w:style w:type="paragraph" w:customStyle="1" w:styleId="RUE">
    <w:name w:val="RUE"/>
    <w:basedOn w:val="Normlny"/>
    <w:semiHidden/>
    <w:pPr>
      <w:spacing w:after="0"/>
      <w:jc w:val="center"/>
    </w:pPr>
    <w:rPr>
      <w:b/>
      <w:caps/>
      <w:sz w:val="32"/>
      <w:bdr w:val="single" w:sz="18" w:space="0" w:color="auto"/>
    </w:rPr>
  </w:style>
  <w:style w:type="paragraph" w:customStyle="1" w:styleId="SecretUE">
    <w:name w:val="Secret UE"/>
    <w:basedOn w:val="Normlny"/>
    <w:semiHidden/>
    <w:pPr>
      <w:spacing w:after="0"/>
      <w:jc w:val="center"/>
    </w:pPr>
    <w:rPr>
      <w:b/>
      <w:caps/>
      <w:color w:val="FF0000"/>
      <w:sz w:val="32"/>
      <w:bdr w:val="single" w:sz="18" w:space="0" w:color="FF0000"/>
    </w:rPr>
  </w:style>
  <w:style w:type="paragraph" w:styleId="Podpis">
    <w:name w:val="Signature"/>
    <w:basedOn w:val="Normlny"/>
    <w:uiPriority w:val="2"/>
    <w:pPr>
      <w:spacing w:before="1200" w:after="0"/>
      <w:ind w:left="5102"/>
      <w:jc w:val="center"/>
    </w:pPr>
  </w:style>
  <w:style w:type="paragraph" w:customStyle="1" w:styleId="SignatureL">
    <w:name w:val="SignatureL"/>
    <w:basedOn w:val="Normlny"/>
    <w:uiPriority w:val="2"/>
    <w:pPr>
      <w:spacing w:before="1200" w:after="0"/>
      <w:jc w:val="left"/>
    </w:pPr>
  </w:style>
  <w:style w:type="paragraph" w:customStyle="1" w:styleId="Subject">
    <w:name w:val="Subject"/>
    <w:basedOn w:val="Normlny"/>
    <w:uiPriority w:val="2"/>
    <w:pPr>
      <w:spacing w:after="480"/>
      <w:ind w:left="1191" w:hanging="1191"/>
      <w:contextualSpacing/>
      <w:jc w:val="left"/>
    </w:pPr>
    <w:rPr>
      <w:b/>
    </w:rPr>
  </w:style>
  <w:style w:type="paragraph" w:customStyle="1" w:styleId="TableListBullet">
    <w:name w:val="Table List Bullet"/>
    <w:basedOn w:val="TableText"/>
    <w:uiPriority w:val="1"/>
    <w:pPr>
      <w:numPr>
        <w:numId w:val="20"/>
      </w:numPr>
    </w:pPr>
  </w:style>
  <w:style w:type="paragraph" w:customStyle="1" w:styleId="TableListBulletLevel2">
    <w:name w:val="Table List Bullet (Level 2)"/>
    <w:basedOn w:val="TableText"/>
    <w:uiPriority w:val="1"/>
    <w:pPr>
      <w:numPr>
        <w:ilvl w:val="1"/>
        <w:numId w:val="20"/>
      </w:numPr>
    </w:pPr>
  </w:style>
  <w:style w:type="paragraph" w:customStyle="1" w:styleId="TableListBulletLevel3">
    <w:name w:val="Table List Bullet (Level 3)"/>
    <w:basedOn w:val="TableText"/>
    <w:uiPriority w:val="1"/>
    <w:semiHidden/>
    <w:unhideWhenUsed/>
    <w:pPr>
      <w:numPr>
        <w:ilvl w:val="2"/>
        <w:numId w:val="20"/>
      </w:numPr>
    </w:pPr>
  </w:style>
  <w:style w:type="paragraph" w:customStyle="1" w:styleId="TableListBulletLevel4">
    <w:name w:val="Table List Bullet (Level 4)"/>
    <w:basedOn w:val="TableText"/>
    <w:uiPriority w:val="1"/>
    <w:semiHidden/>
    <w:unhideWhenUsed/>
    <w:pPr>
      <w:numPr>
        <w:ilvl w:val="3"/>
        <w:numId w:val="20"/>
      </w:numPr>
    </w:pPr>
  </w:style>
  <w:style w:type="paragraph" w:customStyle="1" w:styleId="TableListDash">
    <w:name w:val="Table List Dash"/>
    <w:basedOn w:val="TableText"/>
    <w:uiPriority w:val="1"/>
    <w:pPr>
      <w:numPr>
        <w:numId w:val="21"/>
      </w:numPr>
    </w:pPr>
  </w:style>
  <w:style w:type="paragraph" w:customStyle="1" w:styleId="TableListDashLevel2">
    <w:name w:val="Table List Dash (Level 2)"/>
    <w:basedOn w:val="TableText"/>
    <w:uiPriority w:val="1"/>
    <w:pPr>
      <w:numPr>
        <w:ilvl w:val="1"/>
        <w:numId w:val="21"/>
      </w:numPr>
    </w:pPr>
  </w:style>
  <w:style w:type="paragraph" w:customStyle="1" w:styleId="TableListDashLevel3">
    <w:name w:val="Table List Dash (Level 3)"/>
    <w:basedOn w:val="TableText"/>
    <w:uiPriority w:val="1"/>
    <w:semiHidden/>
    <w:unhideWhenUsed/>
    <w:pPr>
      <w:numPr>
        <w:ilvl w:val="2"/>
        <w:numId w:val="21"/>
      </w:numPr>
    </w:pPr>
  </w:style>
  <w:style w:type="paragraph" w:customStyle="1" w:styleId="TableListDashLevel4">
    <w:name w:val="Table List Dash (Level 4)"/>
    <w:basedOn w:val="TableText"/>
    <w:uiPriority w:val="1"/>
    <w:semiHidden/>
    <w:unhideWhenUsed/>
    <w:pPr>
      <w:numPr>
        <w:ilvl w:val="3"/>
        <w:numId w:val="21"/>
      </w:numPr>
    </w:pPr>
  </w:style>
  <w:style w:type="paragraph" w:customStyle="1" w:styleId="TableListNumber">
    <w:name w:val="Table List Number"/>
    <w:basedOn w:val="TableText"/>
    <w:uiPriority w:val="1"/>
    <w:pPr>
      <w:numPr>
        <w:numId w:val="22"/>
      </w:numPr>
    </w:pPr>
  </w:style>
  <w:style w:type="paragraph" w:customStyle="1" w:styleId="TableListNumberLevel2">
    <w:name w:val="Table List Number (Level 2)"/>
    <w:basedOn w:val="TableText"/>
    <w:uiPriority w:val="1"/>
    <w:pPr>
      <w:numPr>
        <w:ilvl w:val="1"/>
        <w:numId w:val="22"/>
      </w:numPr>
    </w:pPr>
  </w:style>
  <w:style w:type="paragraph" w:customStyle="1" w:styleId="TableListNumberLevel3">
    <w:name w:val="Table List Number (Level 3)"/>
    <w:basedOn w:val="TableText"/>
    <w:uiPriority w:val="1"/>
    <w:semiHidden/>
    <w:unhideWhenUsed/>
    <w:pPr>
      <w:numPr>
        <w:ilvl w:val="2"/>
        <w:numId w:val="22"/>
      </w:numPr>
    </w:pPr>
  </w:style>
  <w:style w:type="paragraph" w:customStyle="1" w:styleId="TableListNumberLevel4">
    <w:name w:val="Table List Number (Level 4)"/>
    <w:basedOn w:val="TableText"/>
    <w:uiPriority w:val="1"/>
    <w:semiHidden/>
    <w:unhideWhenUsed/>
    <w:pPr>
      <w:numPr>
        <w:ilvl w:val="3"/>
        <w:numId w:val="22"/>
      </w:numPr>
    </w:pPr>
  </w:style>
  <w:style w:type="paragraph" w:customStyle="1" w:styleId="TableSource">
    <w:name w:val="Table Source"/>
    <w:basedOn w:val="Normlny"/>
    <w:next w:val="Normlny"/>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lny"/>
    <w:uiPriority w:val="1"/>
    <w:qFormat/>
    <w:pPr>
      <w:spacing w:before="60" w:after="60"/>
      <w:jc w:val="left"/>
    </w:pPr>
  </w:style>
  <w:style w:type="paragraph" w:customStyle="1" w:styleId="TableTitle">
    <w:name w:val="Table Title"/>
    <w:basedOn w:val="Normlny"/>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4">
    <w:name w:val="Table Title 4"/>
    <w:basedOn w:val="Text4"/>
    <w:uiPriority w:val="1"/>
    <w:semiHidden/>
    <w:unhideWhenUsed/>
    <w:pPr>
      <w:keepNext/>
      <w:spacing w:after="120"/>
    </w:pPr>
    <w:rPr>
      <w:b/>
      <w:i/>
    </w:rPr>
  </w:style>
  <w:style w:type="paragraph" w:customStyle="1" w:styleId="Text1">
    <w:name w:val="Text 1"/>
    <w:basedOn w:val="Normlny"/>
    <w:uiPriority w:val="1"/>
    <w:qFormat/>
    <w:pPr>
      <w:ind w:left="482"/>
    </w:pPr>
  </w:style>
  <w:style w:type="paragraph" w:customStyle="1" w:styleId="Text2">
    <w:name w:val="Text 2"/>
    <w:basedOn w:val="Normlny"/>
    <w:qFormat/>
    <w:pPr>
      <w:ind w:left="1077"/>
    </w:pPr>
  </w:style>
  <w:style w:type="paragraph" w:customStyle="1" w:styleId="Text3">
    <w:name w:val="Text 3"/>
    <w:basedOn w:val="Normlny"/>
    <w:uiPriority w:val="1"/>
    <w:qFormat/>
    <w:pPr>
      <w:ind w:left="1916"/>
    </w:pPr>
  </w:style>
  <w:style w:type="paragraph" w:customStyle="1" w:styleId="Text4">
    <w:name w:val="Text 4"/>
    <w:basedOn w:val="Normlny"/>
    <w:uiPriority w:val="1"/>
    <w:qFormat/>
    <w:pPr>
      <w:ind w:left="2880"/>
    </w:pPr>
  </w:style>
  <w:style w:type="paragraph" w:styleId="Nzov">
    <w:name w:val="Title"/>
    <w:basedOn w:val="Normlny"/>
    <w:next w:val="Normlny"/>
    <w:uiPriority w:val="1"/>
    <w:qFormat/>
    <w:pPr>
      <w:spacing w:after="480"/>
      <w:jc w:val="center"/>
    </w:pPr>
    <w:rPr>
      <w:b/>
      <w:kern w:val="28"/>
      <w:sz w:val="48"/>
    </w:rPr>
  </w:style>
  <w:style w:type="paragraph" w:styleId="Obsah1">
    <w:name w:val="toc 1"/>
    <w:basedOn w:val="Normlny"/>
    <w:next w:val="Normlny"/>
    <w:semiHidden/>
    <w:pPr>
      <w:tabs>
        <w:tab w:val="right" w:leader="dot" w:pos="8640"/>
      </w:tabs>
      <w:spacing w:before="120" w:after="120"/>
      <w:ind w:left="482" w:right="720" w:hanging="482"/>
    </w:pPr>
  </w:style>
  <w:style w:type="paragraph" w:styleId="Obsah2">
    <w:name w:val="toc 2"/>
    <w:basedOn w:val="Normlny"/>
    <w:next w:val="Normlny"/>
    <w:semiHidden/>
    <w:pPr>
      <w:tabs>
        <w:tab w:val="right" w:leader="dot" w:pos="8640"/>
      </w:tabs>
      <w:spacing w:before="60" w:after="60"/>
      <w:ind w:left="1077" w:right="720" w:hanging="595"/>
    </w:pPr>
    <w:rPr>
      <w:noProof/>
    </w:rPr>
  </w:style>
  <w:style w:type="paragraph" w:styleId="Obsah3">
    <w:name w:val="toc 3"/>
    <w:basedOn w:val="Normlny"/>
    <w:next w:val="Normlny"/>
    <w:semiHidden/>
    <w:pPr>
      <w:tabs>
        <w:tab w:val="right" w:leader="dot" w:pos="8640"/>
      </w:tabs>
      <w:spacing w:before="60" w:after="60"/>
      <w:ind w:left="1916" w:right="720" w:hanging="839"/>
    </w:pPr>
  </w:style>
  <w:style w:type="paragraph" w:styleId="Obsah4">
    <w:name w:val="toc 4"/>
    <w:basedOn w:val="Normlny"/>
    <w:next w:val="Normlny"/>
    <w:semiHidden/>
    <w:pPr>
      <w:tabs>
        <w:tab w:val="right" w:leader="dot" w:pos="8640"/>
      </w:tabs>
      <w:spacing w:before="60" w:after="60"/>
      <w:ind w:left="2880" w:right="720" w:hanging="964"/>
    </w:pPr>
    <w:rPr>
      <w:noProof/>
    </w:rPr>
  </w:style>
  <w:style w:type="paragraph" w:styleId="Obsah5">
    <w:name w:val="toc 5"/>
    <w:basedOn w:val="Normlny"/>
    <w:next w:val="Normlny"/>
    <w:semiHidden/>
    <w:pPr>
      <w:tabs>
        <w:tab w:val="right" w:leader="dot" w:pos="8640"/>
      </w:tabs>
      <w:spacing w:before="240" w:after="120"/>
      <w:ind w:right="720"/>
    </w:pPr>
    <w:rPr>
      <w:caps/>
    </w:rPr>
  </w:style>
  <w:style w:type="paragraph" w:styleId="Obsah6">
    <w:name w:val="toc 6"/>
    <w:basedOn w:val="Normlny"/>
    <w:next w:val="Normlny"/>
    <w:semiHidden/>
    <w:pPr>
      <w:tabs>
        <w:tab w:val="right" w:leader="dot" w:pos="8640"/>
        <w:tab w:val="left" w:pos="2880"/>
      </w:tabs>
      <w:spacing w:before="120" w:after="120"/>
      <w:ind w:left="1916" w:right="720" w:hanging="1916"/>
    </w:pPr>
    <w:rPr>
      <w:caps/>
    </w:rPr>
  </w:style>
  <w:style w:type="paragraph" w:styleId="Obsah7">
    <w:name w:val="toc 7"/>
    <w:basedOn w:val="Normlny"/>
    <w:next w:val="Normlny"/>
    <w:semiHidden/>
    <w:pPr>
      <w:tabs>
        <w:tab w:val="left" w:pos="3685"/>
      </w:tabs>
      <w:spacing w:after="0"/>
      <w:ind w:left="2880" w:hanging="1349"/>
    </w:pPr>
  </w:style>
  <w:style w:type="paragraph" w:styleId="Obsah8">
    <w:name w:val="toc 8"/>
    <w:basedOn w:val="Normlny"/>
    <w:next w:val="Normlny"/>
    <w:semiHidden/>
    <w:pPr>
      <w:tabs>
        <w:tab w:val="right" w:leader="dot" w:pos="8640"/>
      </w:tabs>
    </w:pPr>
  </w:style>
  <w:style w:type="paragraph" w:styleId="Obsah9">
    <w:name w:val="toc 9"/>
    <w:basedOn w:val="Normlny"/>
    <w:next w:val="Normlny"/>
    <w:semiHidden/>
    <w:pPr>
      <w:tabs>
        <w:tab w:val="right" w:leader="dot" w:pos="8640"/>
      </w:tabs>
    </w:pPr>
  </w:style>
  <w:style w:type="paragraph" w:styleId="Hlavikaobsahu">
    <w:name w:val="TOC Heading"/>
    <w:basedOn w:val="Normlny"/>
    <w:next w:val="Normlny"/>
    <w:semiHidden/>
    <w:pPr>
      <w:spacing w:before="240"/>
      <w:jc w:val="center"/>
    </w:pPr>
    <w:rPr>
      <w:rFonts w:ascii="Times New Roman Bold" w:hAnsi="Times New Roman Bold"/>
      <w:b/>
      <w:caps/>
    </w:rPr>
  </w:style>
  <w:style w:type="paragraph" w:customStyle="1" w:styleId="TrsSecretUE">
    <w:name w:val="Très Secret UE"/>
    <w:basedOn w:val="Normlny"/>
    <w:semiHidden/>
    <w:pPr>
      <w:spacing w:after="0"/>
      <w:jc w:val="center"/>
    </w:pPr>
    <w:rPr>
      <w:b/>
      <w:caps/>
      <w:color w:val="FF0000"/>
      <w:sz w:val="32"/>
      <w:bdr w:val="single" w:sz="18" w:space="0" w:color="FF0000"/>
    </w:rPr>
  </w:style>
  <w:style w:type="paragraph" w:customStyle="1" w:styleId="YReferences">
    <w:name w:val="YReferences"/>
    <w:basedOn w:val="Normlny"/>
    <w:uiPriority w:val="2"/>
    <w:pPr>
      <w:spacing w:after="480"/>
      <w:ind w:left="1191" w:hanging="1191"/>
      <w:contextualSpacing/>
    </w:pPr>
  </w:style>
  <w:style w:type="paragraph" w:customStyle="1" w:styleId="ZCom">
    <w:name w:val="Z_Com"/>
    <w:basedOn w:val="Normlny"/>
    <w:next w:val="Normlny"/>
    <w:uiPriority w:val="2"/>
    <w:pPr>
      <w:widowControl w:val="0"/>
      <w:spacing w:before="90" w:after="0"/>
      <w:ind w:right="85"/>
      <w:jc w:val="left"/>
    </w:pPr>
  </w:style>
  <w:style w:type="paragraph" w:customStyle="1" w:styleId="ZDGName">
    <w:name w:val="Z_DGName"/>
    <w:basedOn w:val="Normlny"/>
    <w:uiPriority w:val="2"/>
    <w:pPr>
      <w:widowControl w:val="0"/>
      <w:spacing w:after="0"/>
      <w:ind w:right="85"/>
      <w:jc w:val="left"/>
    </w:pPr>
    <w:rPr>
      <w:sz w:val="16"/>
    </w:rPr>
  </w:style>
  <w:style w:type="paragraph" w:customStyle="1" w:styleId="ZFlag">
    <w:name w:val="Z_Flag"/>
    <w:basedOn w:val="Normlny"/>
    <w:next w:val="Normlny"/>
    <w:uiPriority w:val="2"/>
    <w:pPr>
      <w:widowControl w:val="0"/>
      <w:spacing w:after="0"/>
      <w:ind w:right="85"/>
    </w:pPr>
  </w:style>
  <w:style w:type="paragraph" w:styleId="Hlavika">
    <w:name w:val="header"/>
    <w:basedOn w:val="Normlny"/>
    <w:link w:val="HlavikaChar"/>
    <w:uiPriority w:val="2"/>
    <w:pPr>
      <w:tabs>
        <w:tab w:val="center" w:pos="4150"/>
        <w:tab w:val="right" w:pos="8306"/>
      </w:tabs>
      <w:spacing w:after="0"/>
    </w:pPr>
  </w:style>
  <w:style w:type="character" w:customStyle="1" w:styleId="HlavikaChar">
    <w:name w:val="Hlavička Char"/>
    <w:basedOn w:val="Predvolenpsmoodseku"/>
    <w:link w:val="Hlavika"/>
    <w:uiPriority w:val="2"/>
    <w:rPr>
      <w:sz w:val="24"/>
    </w:rPr>
  </w:style>
  <w:style w:type="table" w:customStyle="1" w:styleId="EurolookClassicBlue">
    <w:name w:val="Eurolook Classic Blue"/>
    <w:basedOn w:val="Normlnatabuka"/>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Normlnatabuka"/>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Normlnatabuka"/>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Normlnatabuka"/>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Normlnatabuka"/>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Normlnatabuka"/>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Normlnatabuka"/>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Normlnatabuka"/>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Normlnatabuka"/>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Normlnatabuka"/>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Normlnatabuka"/>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Normlnatabuka"/>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Normlnatabuka"/>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Normlnatabuka"/>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Normlnatabuka"/>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Normlnatabuka"/>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Normlnatabuka"/>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Normlnatabuka"/>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Normlnatabuka"/>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Normlnatabuka"/>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Normlnatabuka"/>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Normlnatabuka"/>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Normlnatabuka"/>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Normlnatabuka"/>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Normlnatabuka"/>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Normlnatabuka"/>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Normlnatabuka"/>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Normlnatabuka"/>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Normlnatabuka"/>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Normlnatabuka"/>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Normlnatabuka"/>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Normlnatabuka"/>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Normlnatabuka"/>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Normlnatabuka"/>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Normlnatabuka"/>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Normlnatabuka"/>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Normlnatabuka"/>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Normlnatabuka"/>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Normlnatabuka"/>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Normlnatabuka"/>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Normlnatabuka"/>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Normlnatabuka"/>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Normlnatabuka"/>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Normlnatabuka"/>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Normlnatabuka"/>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Normlnatabuka"/>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Normlnatabuka"/>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Normlnatabuka"/>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Normlnatabuka"/>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Normlnatabuka"/>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Normlnatabuka"/>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Normlnatabuka"/>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Normlnatabuka"/>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Normlnatabuka"/>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Normlnatabuka"/>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Normlnatabuka"/>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Normlnatabuka"/>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Normlnatabuka"/>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Normlnatabuka"/>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Normlnatabuka"/>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unhideWhenUsed/>
    <w:tblPr>
      <w:tblInd w:w="482" w:type="dxa"/>
    </w:tblPr>
    <w:tblStylePr w:type="firstRow">
      <w:rPr>
        <w:b/>
      </w:rPr>
      <w:tblPr/>
      <w:trPr>
        <w:cantSplit/>
        <w:tblHeader/>
      </w:trPr>
    </w:tblStylePr>
  </w:style>
  <w:style w:type="table" w:customStyle="1" w:styleId="EurolookTable2">
    <w:name w:val="Eurolook Table 2"/>
    <w:basedOn w:val="EurolookTable"/>
    <w:semiHidden/>
    <w:unhideWhenUsed/>
    <w:tblPr>
      <w:tblInd w:w="1077" w:type="dxa"/>
    </w:tblPr>
    <w:tblStylePr w:type="firstRow">
      <w:rPr>
        <w:b/>
      </w:rPr>
      <w:tblPr/>
      <w:trPr>
        <w:cantSplit/>
        <w:tblHeader/>
      </w:trPr>
    </w:tblStylePr>
  </w:style>
  <w:style w:type="table" w:customStyle="1" w:styleId="EurolookTable3">
    <w:name w:val="Eurolook Table 3"/>
    <w:basedOn w:val="EurolookTable"/>
    <w:semiHidden/>
    <w:unhideWhenUsed/>
    <w:tblPr>
      <w:tblInd w:w="1916" w:type="dxa"/>
    </w:tblPr>
    <w:tblStylePr w:type="firstRow">
      <w:rPr>
        <w:b/>
      </w:rPr>
      <w:tblPr/>
      <w:trPr>
        <w:cantSplit/>
        <w:tblHeader/>
      </w:trPr>
    </w:tblStylePr>
  </w:style>
  <w:style w:type="table" w:customStyle="1" w:styleId="EurolookTable4">
    <w:name w:val="Eurolook Table 4"/>
    <w:basedOn w:val="EurolookTable"/>
    <w:semiHidden/>
    <w:unhideWhenUsed/>
    <w:tblPr>
      <w:tblInd w:w="2880"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Mriekatabuky">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Normlnatabuka"/>
    <w:semiHidden/>
    <w:tblPr>
      <w:tblCellMar>
        <w:left w:w="0" w:type="dxa"/>
        <w:bottom w:w="340" w:type="dxa"/>
        <w:right w:w="0" w:type="dxa"/>
      </w:tblCellMar>
    </w:tblPr>
  </w:style>
  <w:style w:type="paragraph" w:styleId="Zoznamsodrkami5">
    <w:name w:val="List Bullet 5"/>
    <w:basedOn w:val="Normlny"/>
    <w:semiHidden/>
    <w:locked/>
    <w:pPr>
      <w:numPr>
        <w:numId w:val="23"/>
      </w:numPr>
      <w:contextualSpacing/>
    </w:pPr>
  </w:style>
  <w:style w:type="paragraph" w:styleId="slovanzoznam5">
    <w:name w:val="List Number 5"/>
    <w:basedOn w:val="Normlny"/>
    <w:semiHidden/>
    <w:locked/>
    <w:pPr>
      <w:numPr>
        <w:numId w:val="24"/>
      </w:numPr>
      <w:contextualSpacing/>
    </w:pPr>
  </w:style>
  <w:style w:type="paragraph" w:styleId="Odsekzoznamu">
    <w:name w:val="List Paragraph"/>
    <w:basedOn w:val="Normlny"/>
    <w:uiPriority w:val="34"/>
    <w:qFormat/>
    <w:locked/>
    <w:pPr>
      <w:ind w:left="720"/>
      <w:contextualSpacing/>
    </w:pPr>
  </w:style>
  <w:style w:type="character" w:styleId="Hypertextovprepojenie">
    <w:name w:val="Hyperlink"/>
    <w:basedOn w:val="Predvolenpsmoodseku"/>
    <w:semiHidden/>
    <w:locked/>
    <w:rPr>
      <w:color w:val="0563C1" w:themeColor="hyperlink"/>
      <w:u w:val="single"/>
    </w:rPr>
  </w:style>
  <w:style w:type="character" w:customStyle="1" w:styleId="Menzionenonrisolta1">
    <w:name w:val="Menzione non risolta1"/>
    <w:basedOn w:val="Predvolenpsmoodseku"/>
    <w:semiHidden/>
    <w:locked/>
    <w:rPr>
      <w:color w:val="605E5C"/>
      <w:shd w:val="clear" w:color="auto" w:fill="E1DFDD"/>
    </w:rPr>
  </w:style>
  <w:style w:type="paragraph" w:styleId="Revzia">
    <w:name w:val="Revision"/>
    <w:hidden/>
    <w:semiHidden/>
    <w:locked/>
  </w:style>
  <w:style w:type="character" w:styleId="Odkaznakomentr">
    <w:name w:val="annotation reference"/>
    <w:basedOn w:val="Predvolenpsmoodseku"/>
    <w:uiPriority w:val="99"/>
    <w:semiHidden/>
    <w:locked/>
    <w:rPr>
      <w:sz w:val="16"/>
      <w:szCs w:val="16"/>
    </w:rPr>
  </w:style>
  <w:style w:type="paragraph" w:styleId="Textkomentra">
    <w:name w:val="annotation text"/>
    <w:basedOn w:val="Normlny"/>
    <w:link w:val="TextkomentraChar"/>
    <w:uiPriority w:val="99"/>
    <w:locked/>
    <w:rPr>
      <w:sz w:val="20"/>
    </w:rPr>
  </w:style>
  <w:style w:type="character" w:customStyle="1" w:styleId="TextkomentraChar">
    <w:name w:val="Text komentára Char"/>
    <w:basedOn w:val="Predvolenpsmoodseku"/>
    <w:link w:val="Textkomentra"/>
    <w:uiPriority w:val="99"/>
    <w:rPr>
      <w:sz w:val="20"/>
    </w:rPr>
  </w:style>
  <w:style w:type="paragraph" w:styleId="Predmetkomentra">
    <w:name w:val="annotation subject"/>
    <w:basedOn w:val="Textkomentra"/>
    <w:next w:val="Textkomentra"/>
    <w:link w:val="PredmetkomentraChar"/>
    <w:semiHidden/>
    <w:locked/>
    <w:rPr>
      <w:b/>
      <w:bCs/>
    </w:rPr>
  </w:style>
  <w:style w:type="character" w:customStyle="1" w:styleId="PredmetkomentraChar">
    <w:name w:val="Predmet komentára Char"/>
    <w:basedOn w:val="TextkomentraChar"/>
    <w:link w:val="Predmetkomentra"/>
    <w:semiHidden/>
    <w:rPr>
      <w:b/>
      <w:bCs/>
      <w:sz w:val="20"/>
    </w:rPr>
  </w:style>
  <w:style w:type="character" w:styleId="Odkaznapoznmkupodiarou">
    <w:name w:val="footnote reference"/>
    <w:aliases w:val="Footnote symbol,Times 10 Point,Exposant 3 Point, Exposant 3 Point,Appel note de bas de p,Footnote Reference Superscript,PBO Footnote Reference,FR + (Complex) Arial,(Latin) 9 pt,(Complex) 10 pt + (Compl...,Voetnootverwijzing"/>
    <w:basedOn w:val="Predvolenpsmoodseku"/>
    <w:link w:val="Footnotenumber"/>
    <w:uiPriority w:val="99"/>
    <w:qFormat/>
    <w:locked/>
    <w:rPr>
      <w:vertAlign w:val="superscript"/>
    </w:rPr>
  </w:style>
  <w:style w:type="character" w:styleId="PouitHypertextovPrepojenie">
    <w:name w:val="FollowedHyperlink"/>
    <w:basedOn w:val="Predvolenpsmoodseku"/>
    <w:semiHidden/>
    <w:locked/>
    <w:rPr>
      <w:color w:val="954F72" w:themeColor="followedHyperlink"/>
      <w:u w:val="single"/>
    </w:rPr>
  </w:style>
  <w:style w:type="character" w:customStyle="1" w:styleId="TextpoznmkypodiarouChar">
    <w:name w:val="Text poznámky pod čiarou Char"/>
    <w:aliases w:val="Schriftart: 9 pt Char,Schriftart: 10 pt Char,Schriftart: 8 pt Char,WB-Fußnotentext Char,fn Char,footnote text Char,Footnotes Char,Footnote ak Char,FoodNote Char,ft Char,Footnote text Char,Footnote Text Char1 Char"/>
    <w:basedOn w:val="Predvolenpsmoodseku"/>
    <w:link w:val="Textpoznmkypodiarou"/>
    <w:uiPriority w:val="99"/>
    <w:rPr>
      <w:sz w:val="20"/>
    </w:rPr>
  </w:style>
  <w:style w:type="paragraph" w:styleId="Normlnywebov">
    <w:name w:val="Normal (Web)"/>
    <w:basedOn w:val="Normlny"/>
    <w:uiPriority w:val="99"/>
    <w:semiHidden/>
    <w:unhideWhenUsed/>
    <w:locked/>
    <w:pPr>
      <w:spacing w:before="100" w:beforeAutospacing="1" w:after="100" w:afterAutospacing="1"/>
      <w:jc w:val="left"/>
    </w:pPr>
    <w:rPr>
      <w:szCs w:val="24"/>
      <w:lang w:val="it-IT" w:eastAsia="it-IT"/>
    </w:rPr>
  </w:style>
  <w:style w:type="character" w:styleId="Vrazn">
    <w:name w:val="Strong"/>
    <w:basedOn w:val="Predvolenpsmoodseku"/>
    <w:uiPriority w:val="22"/>
    <w:qFormat/>
    <w:locked/>
    <w:rPr>
      <w:b/>
      <w:bCs/>
    </w:rPr>
  </w:style>
  <w:style w:type="paragraph" w:styleId="Textbubliny">
    <w:name w:val="Balloon Text"/>
    <w:basedOn w:val="Normlny"/>
    <w:link w:val="TextbublinyChar"/>
    <w:semiHidden/>
    <w:locked/>
    <w:pPr>
      <w:spacing w:after="0"/>
    </w:pPr>
    <w:rPr>
      <w:rFonts w:ascii="Tahoma" w:hAnsi="Tahoma" w:cs="Tahoma"/>
      <w:sz w:val="16"/>
      <w:szCs w:val="16"/>
    </w:rPr>
  </w:style>
  <w:style w:type="character" w:customStyle="1" w:styleId="TextbublinyChar">
    <w:name w:val="Text bubliny Char"/>
    <w:basedOn w:val="Predvolenpsmoodseku"/>
    <w:link w:val="Textbubliny"/>
    <w:semiHidden/>
    <w:rPr>
      <w:rFonts w:ascii="Tahoma" w:hAnsi="Tahoma" w:cs="Tahoma"/>
      <w:sz w:val="16"/>
      <w:szCs w:val="16"/>
    </w:rPr>
  </w:style>
  <w:style w:type="character" w:styleId="Nevyrieenzmienka">
    <w:name w:val="Unresolved Mention"/>
    <w:basedOn w:val="Predvolenpsmoodseku"/>
    <w:uiPriority w:val="99"/>
    <w:semiHidden/>
    <w:unhideWhenUsed/>
    <w:rPr>
      <w:color w:val="605E5C"/>
      <w:shd w:val="clear" w:color="auto" w:fill="E1DFDD"/>
    </w:rPr>
  </w:style>
  <w:style w:type="paragraph" w:customStyle="1" w:styleId="Footnotenumber">
    <w:name w:val="Footnote number"/>
    <w:aliases w:val="fr"/>
    <w:basedOn w:val="Normlny"/>
    <w:link w:val="Odkaznapoznmkupodiarou"/>
    <w:uiPriority w:val="99"/>
    <w:pPr>
      <w:spacing w:after="160" w:line="240" w:lineRule="exact"/>
      <w:jc w:val="left"/>
    </w:pPr>
    <w:rPr>
      <w:vertAlign w:val="superscript"/>
    </w:rPr>
  </w:style>
  <w:style w:type="paragraph" w:customStyle="1" w:styleId="Standard">
    <w:name w:val="Standard"/>
    <w:pPr>
      <w:suppressAutoHyphens/>
      <w:autoSpaceDN w:val="0"/>
      <w:spacing w:after="240"/>
      <w:jc w:val="both"/>
      <w:textAlignment w:val="baseline"/>
    </w:pPr>
  </w:style>
  <w:style w:type="character" w:customStyle="1" w:styleId="InternetLink">
    <w:name w:val="Internet Link"/>
    <w:basedOn w:val="Predvolenpsmoodseku"/>
    <w:rPr>
      <w:color w:val="0563C1"/>
      <w:u w:val="single"/>
    </w:rPr>
  </w:style>
  <w:style w:type="character" w:customStyle="1" w:styleId="Nadpis2Char">
    <w:name w:val="Nadpis 2 Char"/>
    <w:basedOn w:val="Predvolenpsmoodseku"/>
    <w:link w:val="Nadpis2"/>
    <w:uiPriority w:val="1"/>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15836">
      <w:bodyDiv w:val="1"/>
      <w:marLeft w:val="0"/>
      <w:marRight w:val="0"/>
      <w:marTop w:val="0"/>
      <w:marBottom w:val="0"/>
      <w:divBdr>
        <w:top w:val="none" w:sz="0" w:space="0" w:color="auto"/>
        <w:left w:val="none" w:sz="0" w:space="0" w:color="auto"/>
        <w:bottom w:val="none" w:sz="0" w:space="0" w:color="auto"/>
        <w:right w:val="none" w:sz="0" w:space="0" w:color="auto"/>
      </w:divBdr>
      <w:divsChild>
        <w:div w:id="610092187">
          <w:marLeft w:val="0"/>
          <w:marRight w:val="0"/>
          <w:marTop w:val="0"/>
          <w:marBottom w:val="0"/>
          <w:divBdr>
            <w:top w:val="none" w:sz="0" w:space="0" w:color="auto"/>
            <w:left w:val="none" w:sz="0" w:space="0" w:color="auto"/>
            <w:bottom w:val="none" w:sz="0" w:space="0" w:color="auto"/>
            <w:right w:val="none" w:sz="0" w:space="0" w:color="auto"/>
          </w:divBdr>
        </w:div>
      </w:divsChild>
    </w:div>
    <w:div w:id="308635748">
      <w:bodyDiv w:val="1"/>
      <w:marLeft w:val="0"/>
      <w:marRight w:val="0"/>
      <w:marTop w:val="0"/>
      <w:marBottom w:val="0"/>
      <w:divBdr>
        <w:top w:val="none" w:sz="0" w:space="0" w:color="auto"/>
        <w:left w:val="none" w:sz="0" w:space="0" w:color="auto"/>
        <w:bottom w:val="none" w:sz="0" w:space="0" w:color="auto"/>
        <w:right w:val="none" w:sz="0" w:space="0" w:color="auto"/>
      </w:divBdr>
    </w:div>
    <w:div w:id="389808483">
      <w:bodyDiv w:val="1"/>
      <w:marLeft w:val="0"/>
      <w:marRight w:val="0"/>
      <w:marTop w:val="0"/>
      <w:marBottom w:val="0"/>
      <w:divBdr>
        <w:top w:val="none" w:sz="0" w:space="0" w:color="auto"/>
        <w:left w:val="none" w:sz="0" w:space="0" w:color="auto"/>
        <w:bottom w:val="none" w:sz="0" w:space="0" w:color="auto"/>
        <w:right w:val="none" w:sz="0" w:space="0" w:color="auto"/>
      </w:divBdr>
      <w:divsChild>
        <w:div w:id="930894551">
          <w:marLeft w:val="0"/>
          <w:marRight w:val="0"/>
          <w:marTop w:val="0"/>
          <w:marBottom w:val="0"/>
          <w:divBdr>
            <w:top w:val="none" w:sz="0" w:space="0" w:color="auto"/>
            <w:left w:val="none" w:sz="0" w:space="0" w:color="auto"/>
            <w:bottom w:val="none" w:sz="0" w:space="0" w:color="auto"/>
            <w:right w:val="none" w:sz="0" w:space="0" w:color="auto"/>
          </w:divBdr>
          <w:divsChild>
            <w:div w:id="54201823">
              <w:marLeft w:val="0"/>
              <w:marRight w:val="0"/>
              <w:marTop w:val="0"/>
              <w:marBottom w:val="0"/>
              <w:divBdr>
                <w:top w:val="none" w:sz="0" w:space="0" w:color="auto"/>
                <w:left w:val="none" w:sz="0" w:space="0" w:color="auto"/>
                <w:bottom w:val="none" w:sz="0" w:space="0" w:color="auto"/>
                <w:right w:val="none" w:sz="0" w:space="0" w:color="auto"/>
              </w:divBdr>
              <w:divsChild>
                <w:div w:id="1369334984">
                  <w:marLeft w:val="0"/>
                  <w:marRight w:val="0"/>
                  <w:marTop w:val="0"/>
                  <w:marBottom w:val="0"/>
                  <w:divBdr>
                    <w:top w:val="none" w:sz="0" w:space="0" w:color="auto"/>
                    <w:left w:val="none" w:sz="0" w:space="0" w:color="auto"/>
                    <w:bottom w:val="none" w:sz="0" w:space="0" w:color="auto"/>
                    <w:right w:val="none" w:sz="0" w:space="0" w:color="auto"/>
                  </w:divBdr>
                  <w:divsChild>
                    <w:div w:id="2065716215">
                      <w:marLeft w:val="0"/>
                      <w:marRight w:val="0"/>
                      <w:marTop w:val="0"/>
                      <w:marBottom w:val="0"/>
                      <w:divBdr>
                        <w:top w:val="none" w:sz="0" w:space="0" w:color="auto"/>
                        <w:left w:val="none" w:sz="0" w:space="0" w:color="auto"/>
                        <w:bottom w:val="none" w:sz="0" w:space="0" w:color="auto"/>
                        <w:right w:val="none" w:sz="0" w:space="0" w:color="auto"/>
                      </w:divBdr>
                      <w:divsChild>
                        <w:div w:id="509415765">
                          <w:marLeft w:val="0"/>
                          <w:marRight w:val="0"/>
                          <w:marTop w:val="0"/>
                          <w:marBottom w:val="0"/>
                          <w:divBdr>
                            <w:top w:val="none" w:sz="0" w:space="0" w:color="auto"/>
                            <w:left w:val="none" w:sz="0" w:space="0" w:color="auto"/>
                            <w:bottom w:val="none" w:sz="0" w:space="0" w:color="auto"/>
                            <w:right w:val="none" w:sz="0" w:space="0" w:color="auto"/>
                          </w:divBdr>
                          <w:divsChild>
                            <w:div w:id="135333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1831932">
      <w:bodyDiv w:val="1"/>
      <w:marLeft w:val="0"/>
      <w:marRight w:val="0"/>
      <w:marTop w:val="0"/>
      <w:marBottom w:val="0"/>
      <w:divBdr>
        <w:top w:val="none" w:sz="0" w:space="0" w:color="auto"/>
        <w:left w:val="none" w:sz="0" w:space="0" w:color="auto"/>
        <w:bottom w:val="none" w:sz="0" w:space="0" w:color="auto"/>
        <w:right w:val="none" w:sz="0" w:space="0" w:color="auto"/>
      </w:divBdr>
    </w:div>
    <w:div w:id="658506799">
      <w:bodyDiv w:val="1"/>
      <w:marLeft w:val="0"/>
      <w:marRight w:val="0"/>
      <w:marTop w:val="0"/>
      <w:marBottom w:val="0"/>
      <w:divBdr>
        <w:top w:val="none" w:sz="0" w:space="0" w:color="auto"/>
        <w:left w:val="none" w:sz="0" w:space="0" w:color="auto"/>
        <w:bottom w:val="none" w:sz="0" w:space="0" w:color="auto"/>
        <w:right w:val="none" w:sz="0" w:space="0" w:color="auto"/>
      </w:divBdr>
    </w:div>
    <w:div w:id="678047780">
      <w:bodyDiv w:val="1"/>
      <w:marLeft w:val="0"/>
      <w:marRight w:val="0"/>
      <w:marTop w:val="0"/>
      <w:marBottom w:val="0"/>
      <w:divBdr>
        <w:top w:val="none" w:sz="0" w:space="0" w:color="auto"/>
        <w:left w:val="none" w:sz="0" w:space="0" w:color="auto"/>
        <w:bottom w:val="none" w:sz="0" w:space="0" w:color="auto"/>
        <w:right w:val="none" w:sz="0" w:space="0" w:color="auto"/>
      </w:divBdr>
    </w:div>
    <w:div w:id="939097621">
      <w:bodyDiv w:val="1"/>
      <w:marLeft w:val="0"/>
      <w:marRight w:val="0"/>
      <w:marTop w:val="0"/>
      <w:marBottom w:val="0"/>
      <w:divBdr>
        <w:top w:val="none" w:sz="0" w:space="0" w:color="auto"/>
        <w:left w:val="none" w:sz="0" w:space="0" w:color="auto"/>
        <w:bottom w:val="none" w:sz="0" w:space="0" w:color="auto"/>
        <w:right w:val="none" w:sz="0" w:space="0" w:color="auto"/>
      </w:divBdr>
      <w:divsChild>
        <w:div w:id="186793893">
          <w:marLeft w:val="0"/>
          <w:marRight w:val="0"/>
          <w:marTop w:val="0"/>
          <w:marBottom w:val="0"/>
          <w:divBdr>
            <w:top w:val="none" w:sz="0" w:space="0" w:color="auto"/>
            <w:left w:val="none" w:sz="0" w:space="0" w:color="auto"/>
            <w:bottom w:val="none" w:sz="0" w:space="0" w:color="auto"/>
            <w:right w:val="none" w:sz="0" w:space="0" w:color="auto"/>
          </w:divBdr>
          <w:divsChild>
            <w:div w:id="779884179">
              <w:marLeft w:val="0"/>
              <w:marRight w:val="0"/>
              <w:marTop w:val="0"/>
              <w:marBottom w:val="0"/>
              <w:divBdr>
                <w:top w:val="none" w:sz="0" w:space="0" w:color="auto"/>
                <w:left w:val="none" w:sz="0" w:space="0" w:color="auto"/>
                <w:bottom w:val="none" w:sz="0" w:space="0" w:color="auto"/>
                <w:right w:val="none" w:sz="0" w:space="0" w:color="auto"/>
              </w:divBdr>
              <w:divsChild>
                <w:div w:id="125777581">
                  <w:marLeft w:val="0"/>
                  <w:marRight w:val="0"/>
                  <w:marTop w:val="0"/>
                  <w:marBottom w:val="0"/>
                  <w:divBdr>
                    <w:top w:val="none" w:sz="0" w:space="0" w:color="auto"/>
                    <w:left w:val="none" w:sz="0" w:space="0" w:color="auto"/>
                    <w:bottom w:val="none" w:sz="0" w:space="0" w:color="auto"/>
                    <w:right w:val="none" w:sz="0" w:space="0" w:color="auto"/>
                  </w:divBdr>
                  <w:divsChild>
                    <w:div w:id="2104837575">
                      <w:marLeft w:val="0"/>
                      <w:marRight w:val="0"/>
                      <w:marTop w:val="0"/>
                      <w:marBottom w:val="0"/>
                      <w:divBdr>
                        <w:top w:val="none" w:sz="0" w:space="0" w:color="auto"/>
                        <w:left w:val="none" w:sz="0" w:space="0" w:color="auto"/>
                        <w:bottom w:val="none" w:sz="0" w:space="0" w:color="auto"/>
                        <w:right w:val="none" w:sz="0" w:space="0" w:color="auto"/>
                      </w:divBdr>
                      <w:divsChild>
                        <w:div w:id="2020959239">
                          <w:marLeft w:val="0"/>
                          <w:marRight w:val="0"/>
                          <w:marTop w:val="0"/>
                          <w:marBottom w:val="0"/>
                          <w:divBdr>
                            <w:top w:val="none" w:sz="0" w:space="0" w:color="auto"/>
                            <w:left w:val="none" w:sz="0" w:space="0" w:color="auto"/>
                            <w:bottom w:val="none" w:sz="0" w:space="0" w:color="auto"/>
                            <w:right w:val="none" w:sz="0" w:space="0" w:color="auto"/>
                          </w:divBdr>
                          <w:divsChild>
                            <w:div w:id="176896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6130698">
      <w:bodyDiv w:val="1"/>
      <w:marLeft w:val="0"/>
      <w:marRight w:val="0"/>
      <w:marTop w:val="0"/>
      <w:marBottom w:val="0"/>
      <w:divBdr>
        <w:top w:val="none" w:sz="0" w:space="0" w:color="auto"/>
        <w:left w:val="none" w:sz="0" w:space="0" w:color="auto"/>
        <w:bottom w:val="none" w:sz="0" w:space="0" w:color="auto"/>
        <w:right w:val="none" w:sz="0" w:space="0" w:color="auto"/>
      </w:divBdr>
    </w:div>
    <w:div w:id="1121413313">
      <w:bodyDiv w:val="1"/>
      <w:marLeft w:val="0"/>
      <w:marRight w:val="0"/>
      <w:marTop w:val="0"/>
      <w:marBottom w:val="0"/>
      <w:divBdr>
        <w:top w:val="none" w:sz="0" w:space="0" w:color="auto"/>
        <w:left w:val="none" w:sz="0" w:space="0" w:color="auto"/>
        <w:bottom w:val="none" w:sz="0" w:space="0" w:color="auto"/>
        <w:right w:val="none" w:sz="0" w:space="0" w:color="auto"/>
      </w:divBdr>
      <w:divsChild>
        <w:div w:id="236017781">
          <w:marLeft w:val="0"/>
          <w:marRight w:val="0"/>
          <w:marTop w:val="0"/>
          <w:marBottom w:val="80"/>
          <w:divBdr>
            <w:top w:val="none" w:sz="0" w:space="0" w:color="auto"/>
            <w:left w:val="none" w:sz="0" w:space="0" w:color="auto"/>
            <w:bottom w:val="none" w:sz="0" w:space="0" w:color="auto"/>
            <w:right w:val="none" w:sz="0" w:space="0" w:color="auto"/>
          </w:divBdr>
        </w:div>
        <w:div w:id="383993139">
          <w:marLeft w:val="0"/>
          <w:marRight w:val="0"/>
          <w:marTop w:val="0"/>
          <w:marBottom w:val="0"/>
          <w:divBdr>
            <w:top w:val="none" w:sz="0" w:space="0" w:color="auto"/>
            <w:left w:val="none" w:sz="0" w:space="0" w:color="auto"/>
            <w:bottom w:val="none" w:sz="0" w:space="0" w:color="auto"/>
            <w:right w:val="none" w:sz="0" w:space="0" w:color="auto"/>
          </w:divBdr>
        </w:div>
      </w:divsChild>
    </w:div>
    <w:div w:id="1284651532">
      <w:bodyDiv w:val="1"/>
      <w:marLeft w:val="0"/>
      <w:marRight w:val="0"/>
      <w:marTop w:val="0"/>
      <w:marBottom w:val="0"/>
      <w:divBdr>
        <w:top w:val="none" w:sz="0" w:space="0" w:color="auto"/>
        <w:left w:val="none" w:sz="0" w:space="0" w:color="auto"/>
        <w:bottom w:val="none" w:sz="0" w:space="0" w:color="auto"/>
        <w:right w:val="none" w:sz="0" w:space="0" w:color="auto"/>
      </w:divBdr>
      <w:divsChild>
        <w:div w:id="335351691">
          <w:marLeft w:val="0"/>
          <w:marRight w:val="0"/>
          <w:marTop w:val="0"/>
          <w:marBottom w:val="0"/>
          <w:divBdr>
            <w:top w:val="none" w:sz="0" w:space="0" w:color="auto"/>
            <w:left w:val="none" w:sz="0" w:space="0" w:color="auto"/>
            <w:bottom w:val="none" w:sz="0" w:space="0" w:color="auto"/>
            <w:right w:val="none" w:sz="0" w:space="0" w:color="auto"/>
          </w:divBdr>
          <w:divsChild>
            <w:div w:id="736126487">
              <w:marLeft w:val="0"/>
              <w:marRight w:val="0"/>
              <w:marTop w:val="0"/>
              <w:marBottom w:val="0"/>
              <w:divBdr>
                <w:top w:val="none" w:sz="0" w:space="0" w:color="auto"/>
                <w:left w:val="none" w:sz="0" w:space="0" w:color="auto"/>
                <w:bottom w:val="none" w:sz="0" w:space="0" w:color="auto"/>
                <w:right w:val="none" w:sz="0" w:space="0" w:color="auto"/>
              </w:divBdr>
              <w:divsChild>
                <w:div w:id="2061517132">
                  <w:marLeft w:val="0"/>
                  <w:marRight w:val="0"/>
                  <w:marTop w:val="0"/>
                  <w:marBottom w:val="0"/>
                  <w:divBdr>
                    <w:top w:val="none" w:sz="0" w:space="0" w:color="auto"/>
                    <w:left w:val="none" w:sz="0" w:space="0" w:color="auto"/>
                    <w:bottom w:val="none" w:sz="0" w:space="0" w:color="auto"/>
                    <w:right w:val="none" w:sz="0" w:space="0" w:color="auto"/>
                  </w:divBdr>
                  <w:divsChild>
                    <w:div w:id="1147361616">
                      <w:marLeft w:val="0"/>
                      <w:marRight w:val="0"/>
                      <w:marTop w:val="0"/>
                      <w:marBottom w:val="0"/>
                      <w:divBdr>
                        <w:top w:val="none" w:sz="0" w:space="0" w:color="auto"/>
                        <w:left w:val="none" w:sz="0" w:space="0" w:color="auto"/>
                        <w:bottom w:val="none" w:sz="0" w:space="0" w:color="auto"/>
                        <w:right w:val="none" w:sz="0" w:space="0" w:color="auto"/>
                      </w:divBdr>
                      <w:divsChild>
                        <w:div w:id="1696076730">
                          <w:marLeft w:val="0"/>
                          <w:marRight w:val="0"/>
                          <w:marTop w:val="0"/>
                          <w:marBottom w:val="0"/>
                          <w:divBdr>
                            <w:top w:val="none" w:sz="0" w:space="0" w:color="auto"/>
                            <w:left w:val="none" w:sz="0" w:space="0" w:color="auto"/>
                            <w:bottom w:val="none" w:sz="0" w:space="0" w:color="auto"/>
                            <w:right w:val="none" w:sz="0" w:space="0" w:color="auto"/>
                          </w:divBdr>
                          <w:divsChild>
                            <w:div w:id="209697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7153432">
      <w:bodyDiv w:val="1"/>
      <w:marLeft w:val="0"/>
      <w:marRight w:val="0"/>
      <w:marTop w:val="0"/>
      <w:marBottom w:val="0"/>
      <w:divBdr>
        <w:top w:val="none" w:sz="0" w:space="0" w:color="auto"/>
        <w:left w:val="none" w:sz="0" w:space="0" w:color="auto"/>
        <w:bottom w:val="none" w:sz="0" w:space="0" w:color="auto"/>
        <w:right w:val="none" w:sz="0" w:space="0" w:color="auto"/>
      </w:divBdr>
    </w:div>
    <w:div w:id="1697460109">
      <w:bodyDiv w:val="1"/>
      <w:marLeft w:val="0"/>
      <w:marRight w:val="0"/>
      <w:marTop w:val="0"/>
      <w:marBottom w:val="0"/>
      <w:divBdr>
        <w:top w:val="none" w:sz="0" w:space="0" w:color="auto"/>
        <w:left w:val="none" w:sz="0" w:space="0" w:color="auto"/>
        <w:bottom w:val="none" w:sz="0" w:space="0" w:color="auto"/>
        <w:right w:val="none" w:sz="0" w:space="0" w:color="auto"/>
      </w:divBdr>
      <w:divsChild>
        <w:div w:id="1825047128">
          <w:marLeft w:val="0"/>
          <w:marRight w:val="0"/>
          <w:marTop w:val="0"/>
          <w:marBottom w:val="0"/>
          <w:divBdr>
            <w:top w:val="none" w:sz="0" w:space="0" w:color="auto"/>
            <w:left w:val="none" w:sz="0" w:space="0" w:color="auto"/>
            <w:bottom w:val="none" w:sz="0" w:space="0" w:color="auto"/>
            <w:right w:val="none" w:sz="0" w:space="0" w:color="auto"/>
          </w:divBdr>
        </w:div>
      </w:divsChild>
    </w:div>
    <w:div w:id="1697929181">
      <w:bodyDiv w:val="1"/>
      <w:marLeft w:val="0"/>
      <w:marRight w:val="0"/>
      <w:marTop w:val="0"/>
      <w:marBottom w:val="0"/>
      <w:divBdr>
        <w:top w:val="none" w:sz="0" w:space="0" w:color="auto"/>
        <w:left w:val="none" w:sz="0" w:space="0" w:color="auto"/>
        <w:bottom w:val="none" w:sz="0" w:space="0" w:color="auto"/>
        <w:right w:val="none" w:sz="0" w:space="0" w:color="auto"/>
      </w:divBdr>
      <w:divsChild>
        <w:div w:id="1955283138">
          <w:marLeft w:val="0"/>
          <w:marRight w:val="0"/>
          <w:marTop w:val="0"/>
          <w:marBottom w:val="0"/>
          <w:divBdr>
            <w:top w:val="none" w:sz="0" w:space="0" w:color="auto"/>
            <w:left w:val="none" w:sz="0" w:space="0" w:color="auto"/>
            <w:bottom w:val="none" w:sz="0" w:space="0" w:color="auto"/>
            <w:right w:val="none" w:sz="0" w:space="0" w:color="auto"/>
          </w:divBdr>
          <w:divsChild>
            <w:div w:id="1698894922">
              <w:marLeft w:val="0"/>
              <w:marRight w:val="0"/>
              <w:marTop w:val="0"/>
              <w:marBottom w:val="0"/>
              <w:divBdr>
                <w:top w:val="none" w:sz="0" w:space="0" w:color="auto"/>
                <w:left w:val="none" w:sz="0" w:space="0" w:color="auto"/>
                <w:bottom w:val="none" w:sz="0" w:space="0" w:color="auto"/>
                <w:right w:val="none" w:sz="0" w:space="0" w:color="auto"/>
              </w:divBdr>
              <w:divsChild>
                <w:div w:id="1823085001">
                  <w:marLeft w:val="0"/>
                  <w:marRight w:val="0"/>
                  <w:marTop w:val="0"/>
                  <w:marBottom w:val="0"/>
                  <w:divBdr>
                    <w:top w:val="none" w:sz="0" w:space="0" w:color="auto"/>
                    <w:left w:val="none" w:sz="0" w:space="0" w:color="auto"/>
                    <w:bottom w:val="none" w:sz="0" w:space="0" w:color="auto"/>
                    <w:right w:val="none" w:sz="0" w:space="0" w:color="auto"/>
                  </w:divBdr>
                  <w:divsChild>
                    <w:div w:id="792216500">
                      <w:marLeft w:val="0"/>
                      <w:marRight w:val="0"/>
                      <w:marTop w:val="0"/>
                      <w:marBottom w:val="0"/>
                      <w:divBdr>
                        <w:top w:val="none" w:sz="0" w:space="0" w:color="auto"/>
                        <w:left w:val="none" w:sz="0" w:space="0" w:color="auto"/>
                        <w:bottom w:val="none" w:sz="0" w:space="0" w:color="auto"/>
                        <w:right w:val="none" w:sz="0" w:space="0" w:color="auto"/>
                      </w:divBdr>
                      <w:divsChild>
                        <w:div w:id="892889717">
                          <w:marLeft w:val="0"/>
                          <w:marRight w:val="0"/>
                          <w:marTop w:val="0"/>
                          <w:marBottom w:val="0"/>
                          <w:divBdr>
                            <w:top w:val="none" w:sz="0" w:space="0" w:color="auto"/>
                            <w:left w:val="none" w:sz="0" w:space="0" w:color="auto"/>
                            <w:bottom w:val="none" w:sz="0" w:space="0" w:color="auto"/>
                            <w:right w:val="none" w:sz="0" w:space="0" w:color="auto"/>
                          </w:divBdr>
                          <w:divsChild>
                            <w:div w:id="26045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307674">
      <w:bodyDiv w:val="1"/>
      <w:marLeft w:val="0"/>
      <w:marRight w:val="0"/>
      <w:marTop w:val="0"/>
      <w:marBottom w:val="0"/>
      <w:divBdr>
        <w:top w:val="none" w:sz="0" w:space="0" w:color="auto"/>
        <w:left w:val="none" w:sz="0" w:space="0" w:color="auto"/>
        <w:bottom w:val="none" w:sz="0" w:space="0" w:color="auto"/>
        <w:right w:val="none" w:sz="0" w:space="0" w:color="auto"/>
      </w:divBdr>
    </w:div>
    <w:div w:id="1998412636">
      <w:bodyDiv w:val="1"/>
      <w:marLeft w:val="0"/>
      <w:marRight w:val="0"/>
      <w:marTop w:val="0"/>
      <w:marBottom w:val="0"/>
      <w:divBdr>
        <w:top w:val="none" w:sz="0" w:space="0" w:color="auto"/>
        <w:left w:val="none" w:sz="0" w:space="0" w:color="auto"/>
        <w:bottom w:val="none" w:sz="0" w:space="0" w:color="auto"/>
        <w:right w:val="none" w:sz="0" w:space="0" w:color="auto"/>
      </w:divBdr>
    </w:div>
    <w:div w:id="20204295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s://cassaddpp.sharepoint.com/:b:/s/msteams_0d1342_784091/EYxAEbyahUhLtilDC5TJifsB6__enffOo-JoSvXI_1AUJw?e=VPE8cd" TargetMode="Externa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eur-lex.europa.eu/legal-content/EN/TXT/PDF/?uri=CELEX:52021XC1230(02)"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research-and-innovation.ec.europa.eu/funding/funding-opportunities/funding-programmes-and-open-calls/horizon-europe/euratom-research-and-training-programme_en" TargetMode="External"/><Relationship Id="rId2" Type="http://schemas.openxmlformats.org/officeDocument/2006/relationships/hyperlink" Target="https://doi.org/10.61092/iaea.es3t-vz6q" TargetMode="External"/><Relationship Id="rId1" Type="http://schemas.openxmlformats.org/officeDocument/2006/relationships/hyperlink" Target="https://www.iter.org/" TargetMode="External"/><Relationship Id="rId6" Type="http://schemas.openxmlformats.org/officeDocument/2006/relationships/hyperlink" Target="https://op.europa.eu/en/publication-detail/-/publication/02823529-dc31-11ee-b9d9-01aa75ed71a1/language-en" TargetMode="External"/><Relationship Id="rId5" Type="http://schemas.openxmlformats.org/officeDocument/2006/relationships/hyperlink" Target="https://eurohpc-ju.europa.eu/index_en" TargetMode="External"/><Relationship Id="rId4" Type="http://schemas.openxmlformats.org/officeDocument/2006/relationships/hyperlink" Target="https://fusionforenergy.europa.e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Author Role="Creator" AuthorRoleName="Writer" AuthorRoleId="a4fbaff4-b07c-48b4-a21e-e7b9eedf3796">
  <Id>ad3e3ec3-55fc-4430-9fc8-6cff4a69cfda</Id>
  <Names>
    <Latin>
      <FirstName>Guillaume</FirstName>
      <LastName>ROTY</LastName>
    </Latin>
    <Greek>
      <FirstName/>
      <LastName/>
    </Greek>
    <Cyrillic>
      <FirstName/>
      <LastName/>
    </Cyrillic>
    <DocumentScript>
      <FirstName>Guillaume</FirstName>
      <LastName>ROTY</LastName>
      <FullName>Guillaume ROTY</FullName>
    </DocumentScript>
  </Names>
  <Initials>GR</Initials>
  <Gender>m</Gender>
  <Email>Guillaume.ROTY@ec.europa.eu</Email>
  <Service>GROW.C.3</Service>
  <Function ADCode="40" ShowInSignature="true" ShowInHeader="false" HeaderText="">Deputy Head of Unit</Function>
  <WebAddress/>
  <FunctionalMailbox/>
  <InheritedWebAddress>WebAddress</InheritedWebAddress>
  <OrgaEntity1>
    <Id>8e50828d-b980-4366-bc08-2a20f760600e</Id>
    <LogicalLevel>1</LogicalLevel>
    <Name>GROW</Name>
    <HeadLine1>DIRECTORATE-GENERAL FOR INTERNAL MARKET, INDUSTRY, ENTREPRENEURSHIP</HeadLine1>
    <HeadLine2>AND SMES</HeadLine2>
    <PrimaryAddressId>f03b5801-04c9-4931-aa17-c6d6c70bc579</PrimaryAddressId>
    <SecondaryAddressId/>
    <WebAddress>WebAddress</WebAddress>
    <InheritedWebAddress>WebAddress</InheritedWebAddress>
    <ShowInHeader>true</ShowInHeader>
  </OrgaEntity1>
  <OrgaEntity2>
    <Id>65c2022c-75d5-434e-9270-446319d4d9ae</Id>
    <LogicalLevel>2</LogicalLevel>
    <Name>GROW.C</Name>
    <HeadLine1>Investment</HeadLine1>
    <HeadLine2/>
    <PrimaryAddressId>f03b5801-04c9-4931-aa17-c6d6c70bc579</PrimaryAddressId>
    <SecondaryAddressId/>
    <WebAddress/>
    <InheritedWebAddress>WebAddress</InheritedWebAddress>
    <ShowInHeader>true</ShowInHeader>
  </OrgaEntity2>
  <OrgaEntity3>
    <Id>a78730b9-8d2f-4bef-a72a-80def8090f22</Id>
    <LogicalLevel>3</LogicalLevel>
    <Name>GROW.C.3</Name>
    <HeadLine1>C.3 – Investment Conditions and Public Services</HeadLine1>
    <HeadLine2/>
    <PrimaryAddressId>f03b5801-04c9-4931-aa17-c6d6c70bc579</PrimaryAddressId>
    <SecondaryAddressId/>
    <WebAddress/>
    <InheritedWebAddress>WebAddress</InheritedWebAddress>
    <ShowInHeader>true</ShowInHeader>
  </OrgaEntity3>
  <Hierarchy>
    <OrgaEntity>
      <Id>8e50828d-b980-4366-bc08-2a20f760600e</Id>
      <LogicalLevel>1</LogicalLevel>
      <Name>GROW</Name>
      <HeadLine1>DIRECTORATE-GENERAL FOR INTERNAL MARKET, INDUSTRY, ENTREPRENEURSHIP</HeadLine1>
      <HeadLine2>AND SMES</HeadLine2>
      <PrimaryAddressId>f03b5801-04c9-4931-aa17-c6d6c70bc579</PrimaryAddressId>
      <SecondaryAddressId/>
      <WebAddress>WebAddress</WebAddress>
      <InheritedWebAddress>WebAddress</InheritedWebAddress>
      <ShowInHeader>true</ShowInHeader>
    </OrgaEntity>
    <OrgaEntity>
      <Id>65c2022c-75d5-434e-9270-446319d4d9ae</Id>
      <LogicalLevel>2</LogicalLevel>
      <Name>GROW.C</Name>
      <HeadLine1>Investment</HeadLine1>
      <HeadLine2/>
      <PrimaryAddressId>f03b5801-04c9-4931-aa17-c6d6c70bc579</PrimaryAddressId>
      <SecondaryAddressId/>
      <WebAddress/>
      <InheritedWebAddress>WebAddress</InheritedWebAddress>
      <ShowInHeader>true</ShowInHeader>
    </OrgaEntity>
    <OrgaEntity>
      <Id>a78730b9-8d2f-4bef-a72a-80def8090f22</Id>
      <LogicalLevel>3</LogicalLevel>
      <Name>GROW.C.3</Name>
      <HeadLine1>C.3 – Investment Conditions and Public Services</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+32 229-82260</Phone>
    <Office>N105 02/067</Office>
  </MainWorkplace>
  <Workplaces>
    <Workplace IsMain="true">
      <AddressId>f03b5801-04c9-4931-aa17-c6d6c70bc579</AddressId>
      <Fax/>
      <Phone>+32 229-82260</Phone>
      <Office>N105 02/067</Office>
    </Workplace>
  </Workplaces>
</Author>
</file>

<file path=customXml/item2.xml><?xml version="1.0" encoding="utf-8"?>
<EurolookProperties>
  <ProductCustomizationId>EC</ProductCustomizationId>
  <Created>
    <Version>10.0.45336.0</Version>
    <Date>2023-12-19T16:32:52</Date>
    <Language>EN</Language>
    <Note/>
  </Created>
  <Edited>
    <Version/>
    <Date/>
  </Edited>
  <DocumentModel>
    <Id>f8c36bec-0f9f-4d0e-ab25-ee5c0421ad8b</Id>
    <Name>Note for the file</Name>
  </DocumentModel>
  <CustomTemplate>
    <Id/>
    <Name/>
  </CustomTemplate>
  <DocumentDate>2023-12-19T16:32:52</DocumentDate>
  <DocumentVersion>0.1</DocumentVersion>
  <CompatibilityMode>Eurolook10</CompatibilityMode>
  <DocumentMetadata>
    <EC_SecurityDistributionWorkingGroup MetadataSerializationType="SimpleValue"/>
    <EC_SecurityDateMarkingDate MetadataSerializationType="SimpleValue"/>
    <EC_SecurityReleasability MetadataSerializationType="SimpleValue"/>
    <EC_SecurityDateMarkingEvent MetadataSerializationType="SimpleValue"/>
    <EC_SecurityDistributionDG MetadataSerializationType="SimpleValue"/>
    <EC_SecurityMarking MetadataSerializationType="SimpleValue"/>
    <EC_SecurityDistributionSensitive MetadataSerializationType="SimpleValue"/>
    <EC_SecurityDistributionSpecialHandling MetadataSerializationType="SimpleValue"/>
    <EC_SecurityDateMarking MetadataSerializationType="SimpleValue"/>
  </DocumentMetadata>
</Eurolook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LabelFormattedTableSeqEC>Table {field: SEQ Table \* ARABIC }: </LabelFormattedTableSeqEC>
  <NoteCopy>c.c.:</NoteCopy>
  <NoteCopies>c.c.:</NoteCopies>
  <MarkingUntilText>UNTIL</MarkingUntilText>
  <OrgaRoot>EUROPEAN COMMISSION</OrgaRoot>
  <SecurityPharma>Pharma Investigations</SecurityPharma>
  <ClimaSensitive>CLIMA</ClimaSensitive>
  <SecurityEmbargo>EMBARGO UNTIL</SecurityEmbargo>
  <NoteFile>EU pre-assessment fiche for IPCEI candidates
</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Dokument" ma:contentTypeID="0x010100A94556B2B814524295F421242F1587F9" ma:contentTypeVersion="3" ma:contentTypeDescription="Umožňuje vytvoriť nový dokument." ma:contentTypeScope="" ma:versionID="5224d1fdfea33b8ded7d81c04ccbeb9f">
  <xsd:schema xmlns:xsd="http://www.w3.org/2001/XMLSchema" xmlns:xs="http://www.w3.org/2001/XMLSchema" xmlns:p="http://schemas.microsoft.com/office/2006/metadata/properties" xmlns:ns2="1217bdb6-52c4-41af-958e-15452066f23a" targetNamespace="http://schemas.microsoft.com/office/2006/metadata/properties" ma:root="true" ma:fieldsID="e81ca58095d59024646e7f5f5ca3839d" ns2:_="">
    <xsd:import namespace="1217bdb6-52c4-41af-958e-15452066f23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17bdb6-52c4-41af-958e-15452066f2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EC7CF0-EFC4-4B33-8950-26071AC6E01B}">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8191BF52-918B-4AC2-9001-7F5DA304A03D}">
  <ds:schemaRefs>
    <ds:schemaRef ds:uri="http://schemas.openxmlformats.org/officeDocument/2006/bibliography"/>
  </ds:schemaRefs>
</ds:datastoreItem>
</file>

<file path=customXml/itemProps4.xml><?xml version="1.0" encoding="utf-8"?>
<ds:datastoreItem xmlns:ds="http://schemas.openxmlformats.org/officeDocument/2006/customXml" ds:itemID="{4EF90DE6-88B6-4264-9629-4D8DFDFE87D2}">
  <ds:schemaRefs/>
</ds:datastoreItem>
</file>

<file path=customXml/itemProps5.xml><?xml version="1.0" encoding="utf-8"?>
<ds:datastoreItem xmlns:ds="http://schemas.openxmlformats.org/officeDocument/2006/customXml" ds:itemID="{1E58BFB2-364F-4235-A52F-FA9B4F7C17BD}">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BCB7A883-2581-48E9-8DB3-DAB50D21D524}">
  <ds:schemaRefs>
    <ds:schemaRef ds:uri="http://schemas.microsoft.com/sharepoint/v3/contenttype/forms"/>
  </ds:schemaRefs>
</ds:datastoreItem>
</file>

<file path=customXml/itemProps7.xml><?xml version="1.0" encoding="utf-8"?>
<ds:datastoreItem xmlns:ds="http://schemas.openxmlformats.org/officeDocument/2006/customXml" ds:itemID="{971EDA78-15A3-47D6-8684-E4664B1A3F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17bdb6-52c4-41af-958e-15452066f2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255aed-7de2-497a-9b96-4de850d7aec7}" enabled="1" method="Privileged" siteId="{8c4b47b5-ea35-4370-817f-95066d4f8467}" removed="0"/>
</clbl:labelList>
</file>

<file path=docProps/app.xml><?xml version="1.0" encoding="utf-8"?>
<Properties xmlns="http://schemas.openxmlformats.org/officeDocument/2006/extended-properties" xmlns:vt="http://schemas.openxmlformats.org/officeDocument/2006/docPropsVTypes">
  <Template>Eurolook</Template>
  <TotalTime>5</TotalTime>
  <Pages>15</Pages>
  <Words>6842</Words>
  <Characters>39005</Characters>
  <Application>Microsoft Office Word</Application>
  <DocSecurity>0</DocSecurity>
  <PresentationFormat>Microsoft Word 14.0</PresentationFormat>
  <Lines>325</Lines>
  <Paragraphs>91</Paragraphs>
  <ScaleCrop>true</ScaleCrop>
  <HeadingPairs>
    <vt:vector size="4" baseType="variant">
      <vt:variant>
        <vt:lpstr>Titolo</vt:lpstr>
      </vt:variant>
      <vt:variant>
        <vt:i4>1</vt:i4>
      </vt:variant>
      <vt:variant>
        <vt:lpstr>Titre</vt:lpstr>
      </vt:variant>
      <vt:variant>
        <vt:i4>1</vt:i4>
      </vt:variant>
    </vt:vector>
  </HeadingPairs>
  <TitlesOfParts>
    <vt:vector size="2" baseType="lpstr">
      <vt:lpstr>IPCEI - Nuclear Fusion technologies Pre-assessment fiche</vt:lpstr>
      <vt:lpstr>IPCEI - Nuclear Fusion technologies Pre-assessment fiche</vt:lpstr>
    </vt:vector>
  </TitlesOfParts>
  <Manager/>
  <Company/>
  <LinksUpToDate>false</LinksUpToDate>
  <CharactersWithSpaces>45756</CharactersWithSpaces>
  <SharedDoc>false</SharedDoc>
  <HyperlinkBase/>
  <HLinks>
    <vt:vector size="42" baseType="variant">
      <vt:variant>
        <vt:i4>6946839</vt:i4>
      </vt:variant>
      <vt:variant>
        <vt:i4>3</vt:i4>
      </vt:variant>
      <vt:variant>
        <vt:i4>0</vt:i4>
      </vt:variant>
      <vt:variant>
        <vt:i4>5</vt:i4>
      </vt:variant>
      <vt:variant>
        <vt:lpwstr>https://cassaddpp.sharepoint.com/:b:/s/msteams_0d1342_784091/EYxAEbyahUhLtilDC5TJifsB6__enffOo-JoSvXI_1AUJw?e=VPE8cd</vt:lpwstr>
      </vt:variant>
      <vt:variant>
        <vt:lpwstr/>
      </vt:variant>
      <vt:variant>
        <vt:i4>1179740</vt:i4>
      </vt:variant>
      <vt:variant>
        <vt:i4>0</vt:i4>
      </vt:variant>
      <vt:variant>
        <vt:i4>0</vt:i4>
      </vt:variant>
      <vt:variant>
        <vt:i4>5</vt:i4>
      </vt:variant>
      <vt:variant>
        <vt:lpwstr>https://eur-lex.europa.eu/legal-content/EN/TXT/PDF/?uri=CELEX:52021XC1230(02)</vt:lpwstr>
      </vt:variant>
      <vt:variant>
        <vt:lpwstr/>
      </vt:variant>
      <vt:variant>
        <vt:i4>7602295</vt:i4>
      </vt:variant>
      <vt:variant>
        <vt:i4>12</vt:i4>
      </vt:variant>
      <vt:variant>
        <vt:i4>0</vt:i4>
      </vt:variant>
      <vt:variant>
        <vt:i4>5</vt:i4>
      </vt:variant>
      <vt:variant>
        <vt:lpwstr>https://fusionforenergy.europa.eu/</vt:lpwstr>
      </vt:variant>
      <vt:variant>
        <vt:lpwstr/>
      </vt:variant>
      <vt:variant>
        <vt:i4>917628</vt:i4>
      </vt:variant>
      <vt:variant>
        <vt:i4>9</vt:i4>
      </vt:variant>
      <vt:variant>
        <vt:i4>0</vt:i4>
      </vt:variant>
      <vt:variant>
        <vt:i4>5</vt:i4>
      </vt:variant>
      <vt:variant>
        <vt:lpwstr>https://research-and-innovation.ec.europa.eu/funding/funding-opportunities/funding-programmes-and-open-calls/horizon-europe/euratom-research-and-training-programme_en</vt:lpwstr>
      </vt:variant>
      <vt:variant>
        <vt:lpwstr/>
      </vt:variant>
      <vt:variant>
        <vt:i4>7078012</vt:i4>
      </vt:variant>
      <vt:variant>
        <vt:i4>6</vt:i4>
      </vt:variant>
      <vt:variant>
        <vt:i4>0</vt:i4>
      </vt:variant>
      <vt:variant>
        <vt:i4>5</vt:i4>
      </vt:variant>
      <vt:variant>
        <vt:lpwstr>https://doi.org/10.61092/iaea.es3t-vz6q</vt:lpwstr>
      </vt:variant>
      <vt:variant>
        <vt:lpwstr/>
      </vt:variant>
      <vt:variant>
        <vt:i4>4587536</vt:i4>
      </vt:variant>
      <vt:variant>
        <vt:i4>3</vt:i4>
      </vt:variant>
      <vt:variant>
        <vt:i4>0</vt:i4>
      </vt:variant>
      <vt:variant>
        <vt:i4>5</vt:i4>
      </vt:variant>
      <vt:variant>
        <vt:lpwstr>https://www.iter.org/</vt:lpwstr>
      </vt:variant>
      <vt:variant>
        <vt:lpwstr/>
      </vt:variant>
      <vt:variant>
        <vt:i4>720914</vt:i4>
      </vt:variant>
      <vt:variant>
        <vt:i4>0</vt:i4>
      </vt:variant>
      <vt:variant>
        <vt:i4>0</vt:i4>
      </vt:variant>
      <vt:variant>
        <vt:i4>5</vt:i4>
      </vt:variant>
      <vt:variant>
        <vt:lpwstr>https://www.iaea.org/topics/energy/fusion/faqs</vt:lpwstr>
      </vt:variant>
      <vt:variant>
        <vt:lpwstr>:~:text=There%20are%20no%20CO%202%20or%20other%20harmful,widely%20available%20in%20many%20parts%20of%20the%20Earth.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IPCEI - Nuclear Fusion technologies Pre-assessment fiche</dc:title>
  <dc:subject/>
  <dc:creator>Nicola Ippolito</dc:creator>
  <cp:keywords/>
  <dc:description/>
  <cp:lastModifiedBy>Cibulkova Veronika</cp:lastModifiedBy>
  <cp:revision>4</cp:revision>
  <cp:lastPrinted>2025-03-24T06:22:00Z</cp:lastPrinted>
  <dcterms:created xsi:type="dcterms:W3CDTF">2025-03-31T09:50:00Z</dcterms:created>
  <dcterms:modified xsi:type="dcterms:W3CDTF">2026-08-27T08:12:00Z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2023-12-19T16:10:54Z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206ed358-463d-47ec-a522-c9e00a9f9ace</vt:lpwstr>
  </property>
  <property fmtid="{D5CDD505-2E9C-101B-9397-08002B2CF9AE}" pid="8" name="MSIP_Label_6bd9ddd1-4d20-43f6-abfa-fc3c07406f94_ContentBits">
    <vt:lpwstr>0</vt:lpwstr>
  </property>
  <property fmtid="{D5CDD505-2E9C-101B-9397-08002B2CF9AE}" pid="9" name="ContentTypeId">
    <vt:lpwstr>0x010100A94556B2B814524295F421242F1587F9</vt:lpwstr>
  </property>
  <property fmtid="{D5CDD505-2E9C-101B-9397-08002B2CF9AE}" pid="10" name="MediaServiceImageTags">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y fmtid="{D5CDD505-2E9C-101B-9397-08002B2CF9AE}" pid="17" name="MSIP_Label_198124df-03f0-4cdf-b399-aaf54953b75a_Enabled">
    <vt:lpwstr>true</vt:lpwstr>
  </property>
  <property fmtid="{D5CDD505-2E9C-101B-9397-08002B2CF9AE}" pid="18" name="MSIP_Label_198124df-03f0-4cdf-b399-aaf54953b75a_SetDate">
    <vt:lpwstr>2025-01-13T13:57:47Z</vt:lpwstr>
  </property>
  <property fmtid="{D5CDD505-2E9C-101B-9397-08002B2CF9AE}" pid="19" name="MSIP_Label_198124df-03f0-4cdf-b399-aaf54953b75a_Method">
    <vt:lpwstr>Standard</vt:lpwstr>
  </property>
  <property fmtid="{D5CDD505-2E9C-101B-9397-08002B2CF9AE}" pid="20" name="MSIP_Label_198124df-03f0-4cdf-b399-aaf54953b75a_Name">
    <vt:lpwstr>Etichetta Digitale_0</vt:lpwstr>
  </property>
  <property fmtid="{D5CDD505-2E9C-101B-9397-08002B2CF9AE}" pid="21" name="MSIP_Label_198124df-03f0-4cdf-b399-aaf54953b75a_SiteId">
    <vt:lpwstr>9daa3517-cb58-496c-b5b4-f9ac2a30048b</vt:lpwstr>
  </property>
  <property fmtid="{D5CDD505-2E9C-101B-9397-08002B2CF9AE}" pid="22" name="MSIP_Label_198124df-03f0-4cdf-b399-aaf54953b75a_ActionId">
    <vt:lpwstr>abb08aa6-9581-47f9-98c4-d9116c13f2f4</vt:lpwstr>
  </property>
  <property fmtid="{D5CDD505-2E9C-101B-9397-08002B2CF9AE}" pid="23" name="MSIP_Label_198124df-03f0-4cdf-b399-aaf54953b75a_ContentBits">
    <vt:lpwstr>0</vt:lpwstr>
  </property>
  <property fmtid="{D5CDD505-2E9C-101B-9397-08002B2CF9AE}" pid="24" name="ClassificationContentMarkingFooterShapeIds">
    <vt:lpwstr>35704f9c,31529b29,7bb851a</vt:lpwstr>
  </property>
  <property fmtid="{D5CDD505-2E9C-101B-9397-08002B2CF9AE}" pid="25" name="ClassificationContentMarkingFooterFontProps">
    <vt:lpwstr>#737373,9,Arial</vt:lpwstr>
  </property>
  <property fmtid="{D5CDD505-2E9C-101B-9397-08002B2CF9AE}" pid="26" name="ClassificationContentMarkingFooterText">
    <vt:lpwstr>Interno – Internal</vt:lpwstr>
  </property>
  <property fmtid="{D5CDD505-2E9C-101B-9397-08002B2CF9AE}" pid="27" name="MSIP_Label_94f5f15f-11ca-4705-a655-5e46846a1c6b_Enabled">
    <vt:lpwstr>true</vt:lpwstr>
  </property>
  <property fmtid="{D5CDD505-2E9C-101B-9397-08002B2CF9AE}" pid="28" name="MSIP_Label_94f5f15f-11ca-4705-a655-5e46846a1c6b_SetDate">
    <vt:lpwstr>2025-02-04T17:25:28Z</vt:lpwstr>
  </property>
  <property fmtid="{D5CDD505-2E9C-101B-9397-08002B2CF9AE}" pid="29" name="MSIP_Label_94f5f15f-11ca-4705-a655-5e46846a1c6b_Method">
    <vt:lpwstr>Standard</vt:lpwstr>
  </property>
  <property fmtid="{D5CDD505-2E9C-101B-9397-08002B2CF9AE}" pid="30" name="MSIP_Label_94f5f15f-11ca-4705-a655-5e46846a1c6b_Name">
    <vt:lpwstr>Pubblico</vt:lpwstr>
  </property>
  <property fmtid="{D5CDD505-2E9C-101B-9397-08002B2CF9AE}" pid="31" name="MSIP_Label_94f5f15f-11ca-4705-a655-5e46846a1c6b_SiteId">
    <vt:lpwstr>49ea7387-144b-4c06-b54d-6a66b2b79d71</vt:lpwstr>
  </property>
  <property fmtid="{D5CDD505-2E9C-101B-9397-08002B2CF9AE}" pid="32" name="MSIP_Label_94f5f15f-11ca-4705-a655-5e46846a1c6b_ActionId">
    <vt:lpwstr>b7a5a8dc-59d5-4966-9de0-f8145c3cbf95</vt:lpwstr>
  </property>
  <property fmtid="{D5CDD505-2E9C-101B-9397-08002B2CF9AE}" pid="33" name="MSIP_Label_94f5f15f-11ca-4705-a655-5e46846a1c6b_ContentBits">
    <vt:lpwstr>0</vt:lpwstr>
  </property>
</Properties>
</file>